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eastAsia="黑体"/>
          <w:lang w:val="en-US" w:eastAsia="zh-CN"/>
        </w:rPr>
      </w:pPr>
      <w:bookmarkStart w:id="0" w:name="_GoBack"/>
      <w:bookmarkEnd w:id="0"/>
      <w:r>
        <w:rPr>
          <w:rFonts w:hint="eastAsia" w:eastAsia="黑体"/>
          <w:lang w:val="en-US" w:eastAsia="zh-CN"/>
        </w:rPr>
        <w:t>HNPR-2024-13009</w:t>
      </w:r>
    </w:p>
    <w:p>
      <w:pPr>
        <w:snapToGrid w:val="0"/>
        <w:rPr>
          <w:rFonts w:eastAsia="黑体"/>
        </w:rPr>
      </w:pPr>
    </w:p>
    <w:p>
      <w:pPr>
        <w:pStyle w:val="3"/>
        <w:keepNext w:val="0"/>
        <w:keepLines w:val="0"/>
        <w:pageBreakBefore w:val="0"/>
        <w:widowControl w:val="0"/>
        <w:kinsoku/>
        <w:wordWrap/>
        <w:overflowPunct/>
        <w:topLinePunct w:val="0"/>
        <w:autoSpaceDE/>
        <w:autoSpaceDN/>
        <w:bidi w:val="0"/>
        <w:adjustRightInd/>
        <w:snapToGrid/>
        <w:spacing w:before="800" w:after="600" w:line="800" w:lineRule="exact"/>
        <w:jc w:val="center"/>
        <w:textAlignment w:val="auto"/>
        <w:rPr>
          <w:rFonts w:hint="eastAsia" w:ascii="方正仿宋_GBK" w:hAnsi="方正仿宋_GBK" w:eastAsia="方正仿宋_GBK" w:cs="方正仿宋_GBK"/>
          <w:szCs w:val="32"/>
          <w:lang w:val="en"/>
        </w:rPr>
      </w:pPr>
      <w:r>
        <w:rPr>
          <w:rFonts w:hint="eastAsia" w:ascii="方正仿宋_GBK" w:hAnsi="方正仿宋_GBK" w:eastAsia="方正仿宋_GBK" w:cs="方正仿宋_GBK"/>
          <w:szCs w:val="32"/>
          <w:lang w:val="en"/>
        </w:rPr>
        <w:t>湘环发〔2024〕61号</w:t>
      </w:r>
    </w:p>
    <w:p>
      <w:pPr>
        <w:pStyle w:val="3"/>
        <w:keepNext w:val="0"/>
        <w:keepLines w:val="0"/>
        <w:pageBreakBefore w:val="0"/>
        <w:widowControl w:val="0"/>
        <w:kinsoku/>
        <w:wordWrap/>
        <w:overflowPunct/>
        <w:topLinePunct w:val="0"/>
        <w:autoSpaceDE/>
        <w:autoSpaceDN/>
        <w:bidi w:val="0"/>
        <w:adjustRightInd/>
        <w:snapToGrid/>
        <w:spacing w:before="800" w:after="600" w:line="800" w:lineRule="exact"/>
        <w:jc w:val="center"/>
        <w:textAlignment w:val="auto"/>
        <w:rPr>
          <w:rFonts w:hint="eastAsia" w:ascii="方正小标宋_GBK" w:hAnsi="方正小标宋_GBK" w:eastAsia="方正小标宋_GBK" w:cs="方正小标宋_GBK"/>
          <w:snapToGrid/>
          <w:sz w:val="44"/>
          <w:szCs w:val="44"/>
          <w:lang w:eastAsia="zh-CN"/>
        </w:rPr>
      </w:pPr>
      <w:r>
        <w:rPr>
          <w:rFonts w:hint="eastAsia" w:ascii="方正小标宋_GBK" w:hAnsi="方正小标宋_GBK" w:eastAsia="方正小标宋_GBK" w:cs="方正小标宋_GBK"/>
          <w:snapToGrid/>
          <w:sz w:val="44"/>
          <w:szCs w:val="44"/>
          <w:lang w:eastAsia="zh-CN"/>
        </w:rPr>
        <w:t>关于开展湖南省生态环境导向的开发</w:t>
      </w:r>
      <w:r>
        <w:rPr>
          <w:rFonts w:hint="eastAsia" w:ascii="方正小标宋_GBK" w:hAnsi="方正小标宋_GBK" w:eastAsia="方正小标宋_GBK" w:cs="方正小标宋_GBK"/>
          <w:snapToGrid/>
          <w:sz w:val="44"/>
          <w:szCs w:val="44"/>
          <w:lang w:eastAsia="zh-CN"/>
        </w:rPr>
        <w:br w:type="textWrapping"/>
      </w:r>
      <w:r>
        <w:rPr>
          <w:rFonts w:hint="eastAsia" w:ascii="方正小标宋_GBK" w:hAnsi="方正小标宋_GBK" w:eastAsia="方正小标宋_GBK" w:cs="方正小标宋_GBK"/>
          <w:snapToGrid/>
          <w:sz w:val="44"/>
          <w:szCs w:val="44"/>
          <w:lang w:eastAsia="zh-CN"/>
        </w:rPr>
        <w:t>（EOD）模式试点工作的通知</w:t>
      </w:r>
    </w:p>
    <w:p>
      <w:pPr>
        <w:spacing w:after="115" w:afterLines="20"/>
        <w:jc w:val="center"/>
        <w:rPr>
          <w:rFonts w:hint="eastAsia" w:ascii="方正仿宋_GBK" w:hAnsi="方正仿宋_GBK" w:eastAsia="方正仿宋_GBK" w:cs="方正仿宋_GBK"/>
          <w:lang w:val="e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各市州生态环境局、发展改革委、财政局、人民银行各市州分行，长沙市委金融办、各市州政府办：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FFFFFF"/>
          <w:lang w:eastAsia="zh-CN" w:bidi="ar"/>
        </w:rPr>
      </w:pPr>
      <w:r>
        <w:rPr>
          <w:rFonts w:hint="eastAsia" w:ascii="方正仿宋_GBK" w:hAnsi="方正仿宋_GBK" w:eastAsia="方正仿宋_GBK" w:cs="方正仿宋_GBK"/>
          <w:color w:val="auto"/>
          <w:sz w:val="32"/>
          <w:szCs w:val="32"/>
          <w:highlight w:val="none"/>
          <w:lang w:eastAsia="zh-CN"/>
        </w:rPr>
        <w:t>为落实省委、省政府有关决策部署以及《湖南省人民政府办公厅关于深化生态保护补偿制度改革的实施意见》（湘政办发〔2023〕24号）相关精神，创新环境治理新模式，探索生态产品价值实现机制，推动绿色金融服务美丽湖南建设，参照国家生态环境导向的开发模式（以下简称“EOD模式”）试点的要求，决定组织开展湖南省EOD模式试点工作。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both"/>
        <w:textAlignment w:val="auto"/>
        <w:rPr>
          <w:rFonts w:hint="eastAsia" w:ascii="方正仿宋_GBK" w:hAnsi="方正仿宋_GBK" w:eastAsia="方正仿宋_GBK" w:cs="方正仿宋_GBK"/>
          <w:color w:val="auto"/>
          <w:spacing w:val="2"/>
          <w:sz w:val="32"/>
          <w:szCs w:val="32"/>
          <w:highlight w:val="none"/>
          <w:lang w:eastAsia="zh-CN"/>
        </w:rPr>
      </w:pPr>
      <w:r>
        <w:rPr>
          <w:rFonts w:hint="eastAsia" w:ascii="方正仿宋_GBK" w:hAnsi="方正仿宋_GBK" w:eastAsia="方正仿宋_GBK" w:cs="方正仿宋_GBK"/>
          <w:color w:val="auto"/>
          <w:spacing w:val="2"/>
          <w:sz w:val="32"/>
          <w:szCs w:val="32"/>
          <w:highlight w:val="none"/>
          <w:lang w:eastAsia="zh-CN"/>
        </w:rPr>
        <w:t>深入践行“绿水青山就是金山银山”理念，推动生态环境治理模式创新，积极发展绿色金融，聚焦解决突出生态环境问题，推进一批省级EOD模式试点，探索将生态环境治理与产业开发项目有效融合、一体化实施，培育绿色新质生产力，为推动湖南高质量发展、加快美丽湖南建设提供有力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二、申报要求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EOD模式试点项目按照《生态环保金融支持项目储备库入库指南（试行）》（环办科财〔2022〕6号）《生态环境导向的开发（EOD）项目实施导则（试行）》（环办科财〔2023〕22号）有关要求进行申报。项目应结合区域生态环境保护重点任务，紧扣对污染防治攻坚战和美丽湖南建设支撑作用大、实施必要性强、实施基础好、环境效益显著的工程项目，结合区域相关特色产业，进行联动开发、一体化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（一）申报主体。</w:t>
      </w:r>
      <w:r>
        <w:rPr>
          <w:rFonts w:hint="eastAsia" w:ascii="方正仿宋_GBK" w:hAnsi="方正仿宋_GBK" w:eastAsia="方正仿宋_GBK" w:cs="方正仿宋_GBK"/>
          <w:color w:val="auto"/>
          <w:sz w:val="32"/>
          <w:szCs w:val="32"/>
          <w:highlight w:val="none"/>
          <w:lang w:eastAsia="zh-CN"/>
        </w:rPr>
        <w:t>市州、县市区人民政府或园区管委会既是项目的申报主体，也是项目组织主体，负责组织领导、项目谋划、统筹协调、督促推进、评估指导等工作。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（二）项目谋划。</w:t>
      </w:r>
      <w:r>
        <w:rPr>
          <w:rFonts w:hint="eastAsia" w:ascii="方正仿宋_GBK" w:hAnsi="方正仿宋_GBK" w:eastAsia="方正仿宋_GBK" w:cs="方正仿宋_GBK"/>
          <w:color w:val="auto"/>
          <w:sz w:val="32"/>
          <w:szCs w:val="32"/>
          <w:highlight w:val="none"/>
          <w:lang w:eastAsia="zh-CN"/>
        </w:rPr>
        <w:t>EOD项目包括生态环境治理项目和关联产业项目。生态环境治理项目应有突出的治理需求和明确的改善目标，包括流域水生态环境综合治理、湖库水生态环境保护修复、大气污染防治、农村环境综合整治、生态系统修复、无主或责任主体灭失的历史遗留土壤污染修复及矿山污染防治、固废处理处置（伴生放射性固体废物）、新污染物治理项目等。关联产业项目应与生态环境治理项目深度融合，空间临近或形成上下游产业链关系，互为条件，包括生态环境依赖型产业、环境敏感型产业、人才聚集型产业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（三）方案设计。</w:t>
      </w:r>
      <w:r>
        <w:rPr>
          <w:rFonts w:hint="eastAsia" w:ascii="方正仿宋_GBK" w:hAnsi="方正仿宋_GBK" w:eastAsia="方正仿宋_GBK" w:cs="方正仿宋_GBK"/>
          <w:color w:val="auto"/>
          <w:sz w:val="32"/>
          <w:szCs w:val="32"/>
          <w:highlight w:val="none"/>
          <w:lang w:eastAsia="zh-CN"/>
        </w:rPr>
        <w:t>根据谋划确定项目边界和内容，组织编制 EOD 项目实施方案（以下简称“实施方案”），主要包含项目总体情况、项目内容、要素保障分析、项目组织与管理、投资估算与资金筹措、财务分析、保障措施等内容。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（四）投资规模。</w:t>
      </w:r>
      <w:r>
        <w:rPr>
          <w:rFonts w:hint="eastAsia" w:ascii="方正仿宋_GBK" w:hAnsi="方正仿宋_GBK" w:eastAsia="方正仿宋_GBK" w:cs="方正仿宋_GBK"/>
          <w:color w:val="auto"/>
          <w:sz w:val="32"/>
          <w:szCs w:val="32"/>
          <w:highlight w:val="none"/>
          <w:lang w:eastAsia="zh-CN"/>
        </w:rPr>
        <w:t>县市区人民政府或省级园区管委会为申报主体的项目，原则上投资总额不超过30亿；市州人民政府或国家级园区管委会为申报主体的项目，原则上投资总额不超过50亿。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（五）项目要求。</w:t>
      </w:r>
      <w:r>
        <w:rPr>
          <w:rFonts w:hint="eastAsia" w:ascii="方正仿宋_GBK" w:hAnsi="方正仿宋_GBK" w:eastAsia="方正仿宋_GBK" w:cs="方正仿宋_GBK"/>
          <w:color w:val="auto"/>
          <w:sz w:val="32"/>
          <w:szCs w:val="32"/>
          <w:highlight w:val="none"/>
          <w:lang w:eastAsia="zh-CN"/>
        </w:rPr>
        <w:t>项目整体边界清晰，区域相对集中，生态环境治理与产业开发之间密切关联、充分融合，关联性不强的内容不得纳入项目范围，避免项目分散、随意捆绑、贪大求全。重点谋划边界清晰、融合度佳、布局集中、基础好、“小而美”的项目，组合实施的单体子项目数量原则上不超过5个。不涉及运营期间政府付费，不以土地出让收益、税收、预期新增财政收入等返还补助作为项目收益，依法依规推进项目规范实施，不以任何形式增加地方政府隐性债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（六）运营维护。</w:t>
      </w:r>
      <w:r>
        <w:rPr>
          <w:rFonts w:hint="eastAsia" w:ascii="方正仿宋_GBK" w:hAnsi="方正仿宋_GBK" w:eastAsia="方正仿宋_GBK" w:cs="方正仿宋_GBK"/>
          <w:color w:val="auto"/>
          <w:sz w:val="32"/>
          <w:szCs w:val="32"/>
          <w:highlight w:val="none"/>
          <w:lang w:eastAsia="zh-CN"/>
        </w:rPr>
        <w:t>项目应建立长效推进机制、长周期运营维护机制，确保生态环境治理效果和产业持续发展。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（七）项目数量。</w:t>
      </w:r>
      <w:r>
        <w:rPr>
          <w:rFonts w:hint="eastAsia" w:ascii="方正仿宋_GBK" w:hAnsi="方正仿宋_GBK" w:eastAsia="方正仿宋_GBK" w:cs="方正仿宋_GBK"/>
          <w:color w:val="auto"/>
          <w:sz w:val="32"/>
          <w:szCs w:val="32"/>
          <w:highlight w:val="none"/>
          <w:lang w:eastAsia="zh-CN"/>
        </w:rPr>
        <w:t>按照“成熟一个，申报一个”的原则，由县级及以上生态环境部门通过生态环保金融支持项目管理系统线上申报。湘潭、娄底、张家界原则上每年可申报试点项目</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 w:eastAsia="zh-CN"/>
        </w:rPr>
        <w:t>-2</w:t>
      </w:r>
      <w:r>
        <w:rPr>
          <w:rFonts w:hint="eastAsia" w:ascii="方正仿宋_GBK" w:hAnsi="方正仿宋_GBK" w:eastAsia="方正仿宋_GBK" w:cs="方正仿宋_GBK"/>
          <w:color w:val="auto"/>
          <w:sz w:val="32"/>
          <w:szCs w:val="32"/>
          <w:highlight w:val="none"/>
          <w:lang w:val="en-US" w:eastAsia="zh-CN"/>
        </w:rPr>
        <w:t>个，其他市州每年可申报试点项目2-3个。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三、申报程序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（一）项目申报。</w:t>
      </w:r>
      <w:r>
        <w:rPr>
          <w:rFonts w:hint="eastAsia" w:ascii="方正仿宋_GBK" w:hAnsi="方正仿宋_GBK" w:eastAsia="方正仿宋_GBK" w:cs="方正仿宋_GBK"/>
          <w:color w:val="auto"/>
          <w:sz w:val="32"/>
          <w:szCs w:val="32"/>
          <w:highlight w:val="none"/>
          <w:lang w:eastAsia="zh-CN"/>
        </w:rPr>
        <w:t>项目申报单位组织编制EOD模式项目实施方案，提交项目基本情况表（附件</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），并填报项目实施承诺函（附件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）。项目申报单位对申报材料的真实性、合规性负责。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（二）市州初审。</w:t>
      </w:r>
      <w:r>
        <w:rPr>
          <w:rFonts w:hint="eastAsia" w:ascii="方正仿宋_GBK" w:hAnsi="方正仿宋_GBK" w:eastAsia="方正仿宋_GBK" w:cs="方正仿宋_GBK"/>
          <w:color w:val="auto"/>
          <w:sz w:val="32"/>
          <w:szCs w:val="32"/>
          <w:highlight w:val="none"/>
          <w:lang w:eastAsia="zh-CN"/>
        </w:rPr>
        <w:t xml:space="preserve">根据属地管理原则，各市州生态环境局会同有关部门组织对申报条件成熟的项目进行现场核查和项目评审，出具项目审查意见表（附件 </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）；以市州人民政府或国家级园区管委会为申报主体的项目直接报省级审查。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（三）省级审查。</w:t>
      </w:r>
      <w:r>
        <w:rPr>
          <w:rFonts w:hint="eastAsia" w:ascii="方正仿宋_GBK" w:hAnsi="方正仿宋_GBK" w:eastAsia="方正仿宋_GBK" w:cs="方正仿宋_GBK"/>
          <w:color w:val="auto"/>
          <w:sz w:val="32"/>
          <w:szCs w:val="32"/>
          <w:highlight w:val="none"/>
          <w:lang w:eastAsia="zh-CN"/>
        </w:rPr>
        <w:t>省生态环境厅会同有关部门对申报项目开展形式审查和专家评审。经审核符合EOD项目支持方向和重点的项目，由省生态环境厅纳入省级EOD项目库，并推荐到有关金融机构，由金融机构独立审贷决定授信。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四、项目实施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pacing w:val="2"/>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（一）坚持市场运作。</w:t>
      </w:r>
      <w:r>
        <w:rPr>
          <w:rFonts w:hint="eastAsia" w:ascii="方正仿宋_GBK" w:hAnsi="方正仿宋_GBK" w:eastAsia="方正仿宋_GBK" w:cs="方正仿宋_GBK"/>
          <w:color w:val="auto"/>
          <w:spacing w:val="2"/>
          <w:sz w:val="32"/>
          <w:szCs w:val="32"/>
          <w:highlight w:val="none"/>
          <w:lang w:eastAsia="zh-CN"/>
        </w:rPr>
        <w:t>项目组织主体应采用竞争性方式确定项目实施主体，并满足相关法律法规及规范性文件规定，积极鼓励民间资本参与。实施主体按照自主决策、自负盈亏的原则，组建项目公司，负责项目落地实施、运维经营，按照有关法律法规和标准以及约定的要求，承担相应的生态环境治理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pacing w:val="2"/>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（二）依法依规支持。</w:t>
      </w:r>
      <w:r>
        <w:rPr>
          <w:rFonts w:hint="eastAsia" w:ascii="方正仿宋_GBK" w:hAnsi="方正仿宋_GBK" w:eastAsia="方正仿宋_GBK" w:cs="方正仿宋_GBK"/>
          <w:color w:val="auto"/>
          <w:spacing w:val="2"/>
          <w:sz w:val="32"/>
          <w:szCs w:val="32"/>
          <w:highlight w:val="none"/>
          <w:lang w:eastAsia="zh-CN"/>
        </w:rPr>
        <w:t>金融机构按照依法依规、独立审贷、市场化运作和风险可控的原则，统筹考虑社会、经济和生态环境效益，对符合条件的项目给予信贷支持。加强对试点项目的贷后监管，严格资金使用管控，严防资金挪用，做好风险防范。项目应保证公开、公平、公正，依法依规高效推进，并全程接受公众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（三）加强评估总结。</w:t>
      </w:r>
      <w:r>
        <w:rPr>
          <w:rFonts w:hint="eastAsia" w:ascii="方正仿宋_GBK" w:hAnsi="方正仿宋_GBK" w:eastAsia="方正仿宋_GBK" w:cs="方正仿宋_GBK"/>
          <w:color w:val="auto"/>
          <w:spacing w:val="2"/>
          <w:sz w:val="32"/>
          <w:szCs w:val="32"/>
          <w:highlight w:val="none"/>
          <w:lang w:eastAsia="zh-CN"/>
        </w:rPr>
        <w:t>项目建设期间，项目组织主体和实施主体应加强项目评估，对实施中发现的问题，尤其是生态环境效益目标难达标的情况及时进行整改。项目组织主体在项目进入运营期第二年开展项目后评价，对项目EOD模式符合性、项目目标实现情况、实施效益与经验、资金投入及收益等开展分析和总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pacing w:val="2"/>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（四）严格风险防范。</w:t>
      </w:r>
      <w:r>
        <w:rPr>
          <w:rFonts w:hint="eastAsia" w:ascii="方正仿宋_GBK" w:hAnsi="方正仿宋_GBK" w:eastAsia="方正仿宋_GBK" w:cs="方正仿宋_GBK"/>
          <w:color w:val="auto"/>
          <w:sz w:val="32"/>
          <w:szCs w:val="32"/>
          <w:highlight w:val="none"/>
          <w:lang w:eastAsia="zh-CN"/>
        </w:rPr>
        <w:t>依法依规推进项目规范实施，</w:t>
      </w:r>
      <w:r>
        <w:rPr>
          <w:rFonts w:hint="eastAsia" w:ascii="方正仿宋_GBK" w:hAnsi="方正仿宋_GBK" w:eastAsia="方正仿宋_GBK" w:cs="方正仿宋_GBK"/>
          <w:color w:val="auto"/>
          <w:spacing w:val="2"/>
          <w:sz w:val="32"/>
          <w:szCs w:val="32"/>
          <w:highlight w:val="none"/>
          <w:lang w:eastAsia="zh-CN"/>
        </w:rPr>
        <w:t>严格落实项目立项、招投标、投融资、国土空间规划、土地利用、资源开发、资产处置、资金使用、债务管控等相关法规政策要求，严格防范廉政风险，不得以任何形式增加地方政府隐性债务，不得含有政府资金投入，包括中央财政资金、地方财政资金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五、支持政策</w:t>
      </w:r>
    </w:p>
    <w:p>
      <w:pPr>
        <w:pStyle w:val="11"/>
        <w:keepNext w:val="0"/>
        <w:keepLines w:val="0"/>
        <w:pageBreakBefore w:val="0"/>
        <w:widowControl w:val="0"/>
        <w:kinsoku/>
        <w:wordWrap/>
        <w:overflowPunct/>
        <w:topLinePunct w:val="0"/>
        <w:autoSpaceDE/>
        <w:autoSpaceDN/>
        <w:bidi w:val="0"/>
        <w:adjustRightInd/>
        <w:snapToGrid/>
        <w:spacing w:line="580" w:lineRule="exact"/>
        <w:ind w:firstLine="648" w:firstLineChars="200"/>
        <w:jc w:val="both"/>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对纳入省级EOD项目库的项目，可给予以下政策支持：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（一）加大绿色金融支持。</w:t>
      </w:r>
      <w:r>
        <w:rPr>
          <w:rFonts w:hint="eastAsia" w:ascii="方正仿宋_GBK" w:hAnsi="方正仿宋_GBK" w:eastAsia="方正仿宋_GBK" w:cs="方正仿宋_GBK"/>
          <w:color w:val="auto"/>
          <w:sz w:val="32"/>
          <w:szCs w:val="32"/>
          <w:highlight w:val="none"/>
          <w:lang w:eastAsia="zh-CN"/>
        </w:rPr>
        <w:t>省生态环境厅联合中国人民银行湖南省分行不定期将入库项目推送至有关金融机构。用好碳减排支持工具，向相关金融机构提供低成本资金，支持金融机构向符合条件的项目发放优惠利率贷款。鼓励金融机构对符合条件的入库项目，在尽职调查、审查审批、贷款投放等方面优化流程、提升效率，加大中长期信贷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（二）给予资金奖励激励。</w:t>
      </w:r>
      <w:r>
        <w:rPr>
          <w:rFonts w:hint="eastAsia" w:ascii="方正仿宋_GBK" w:hAnsi="方正仿宋_GBK" w:eastAsia="方正仿宋_GBK" w:cs="方正仿宋_GBK"/>
          <w:color w:val="auto"/>
          <w:sz w:val="32"/>
          <w:szCs w:val="32"/>
          <w:highlight w:val="none"/>
          <w:lang w:eastAsia="zh-CN"/>
        </w:rPr>
        <w:t>对于试点项目实施效果较好的地区，省财政厅、省生态环境厅在专项资金中给予适当奖励。</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highlight w:val="none"/>
        </w:rPr>
      </w:pPr>
      <w:r>
        <w:rPr>
          <w:rFonts w:hint="eastAsia" w:ascii="方正楷体_GBK" w:hAnsi="方正楷体_GBK" w:eastAsia="方正楷体_GBK" w:cs="方正楷体_GBK"/>
          <w:b/>
          <w:bCs/>
          <w:color w:val="auto"/>
          <w:spacing w:val="0"/>
          <w:kern w:val="0"/>
          <w:sz w:val="32"/>
          <w:szCs w:val="32"/>
          <w:highlight w:val="none"/>
          <w:lang w:val="en-US" w:eastAsia="zh-CN" w:bidi="ar-SA"/>
        </w:rPr>
        <w:t>（三）优先给予要素保障。</w:t>
      </w:r>
      <w:r>
        <w:rPr>
          <w:rFonts w:hint="eastAsia" w:ascii="方正仿宋_GBK" w:hAnsi="方正仿宋_GBK" w:eastAsia="方正仿宋_GBK" w:cs="方正仿宋_GBK"/>
          <w:color w:val="auto"/>
          <w:highlight w:val="none"/>
        </w:rPr>
        <w:t>省发改委在项目立项给予重点支持，对符合条件的</w:t>
      </w:r>
      <w:r>
        <w:rPr>
          <w:rFonts w:hint="eastAsia" w:ascii="方正仿宋_GBK" w:hAnsi="方正仿宋_GBK" w:eastAsia="方正仿宋_GBK" w:cs="方正仿宋_GBK"/>
          <w:color w:val="auto"/>
          <w:highlight w:val="none"/>
          <w:lang w:eastAsia="zh-CN"/>
        </w:rPr>
        <w:t>项目</w:t>
      </w:r>
      <w:r>
        <w:rPr>
          <w:rFonts w:hint="eastAsia" w:ascii="方正仿宋_GBK" w:hAnsi="方正仿宋_GBK" w:eastAsia="方正仿宋_GBK" w:cs="方正仿宋_GBK"/>
          <w:color w:val="auto"/>
          <w:highlight w:val="none"/>
        </w:rPr>
        <w:t>优先纳入年度省重点建设项目。省生态环境厅在符合</w:t>
      </w:r>
      <w:r>
        <w:rPr>
          <w:rFonts w:hint="eastAsia" w:ascii="方正仿宋_GBK" w:hAnsi="方正仿宋_GBK" w:eastAsia="方正仿宋_GBK" w:cs="方正仿宋_GBK"/>
          <w:color w:val="auto"/>
          <w:highlight w:val="none"/>
          <w:lang w:eastAsia="zh-CN"/>
        </w:rPr>
        <w:t>法律法规和</w:t>
      </w:r>
      <w:r>
        <w:rPr>
          <w:rFonts w:hint="eastAsia" w:ascii="方正仿宋_GBK" w:hAnsi="方正仿宋_GBK" w:eastAsia="方正仿宋_GBK" w:cs="方正仿宋_GBK"/>
          <w:color w:val="auto"/>
          <w:highlight w:val="none"/>
        </w:rPr>
        <w:t>政策要求的前提下优先保障污染物排污指标，精准高效做好EOD项目的环评审批。</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highlight w:val="none"/>
        </w:rPr>
      </w:pPr>
      <w:r>
        <w:rPr>
          <w:rFonts w:hint="eastAsia" w:ascii="方正楷体_GBK" w:hAnsi="方正楷体_GBK" w:eastAsia="方正楷体_GBK" w:cs="方正楷体_GBK"/>
          <w:b/>
          <w:bCs/>
          <w:color w:val="auto"/>
          <w:spacing w:val="0"/>
          <w:kern w:val="0"/>
          <w:sz w:val="32"/>
          <w:szCs w:val="32"/>
          <w:highlight w:val="none"/>
          <w:lang w:val="en-US" w:eastAsia="zh-CN" w:bidi="ar-SA"/>
        </w:rPr>
        <w:t>（四）推荐纳入国家项目储备库。</w:t>
      </w:r>
      <w:r>
        <w:rPr>
          <w:rFonts w:hint="eastAsia" w:ascii="方正仿宋_GBK" w:hAnsi="方正仿宋_GBK" w:eastAsia="方正仿宋_GBK" w:cs="方正仿宋_GBK"/>
          <w:color w:val="auto"/>
          <w:highlight w:val="none"/>
        </w:rPr>
        <w:t>省生态环境厅从已纳入省级EOD项目库的项目中择优推荐纳入国家生态环保金融支持项目储备库。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六、组织保障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建立上下联动、部门协作、高效有力的工作机制。省级层面由省生态环境厅牵头，联合省委金融办、省发改委、省财政厅、中国人民银行湖南省分行及相关金融机构，建立工作协调机制。提前介入、专业指导，帮助地方解决专业领域的技术难题、优化项目设计思路及实施路径，统筹推进项目落实。各地要建立以政府为主导，相关部门以及金融机构统筹推进的工作机制，项目申报和实施主体要协调解决项目政策支持、规划选址、用地要素保障等具体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七、申报方式及材料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2024年项目申报截止时间为10月31日，</w:t>
      </w:r>
      <w:r>
        <w:rPr>
          <w:rFonts w:hint="eastAsia" w:ascii="方正仿宋_GBK" w:hAnsi="方正仿宋_GBK" w:eastAsia="方正仿宋_GBK" w:cs="方正仿宋_GBK"/>
          <w:color w:val="auto"/>
          <w:sz w:val="32"/>
          <w:szCs w:val="32"/>
          <w:highlight w:val="none"/>
          <w:lang w:eastAsia="zh-CN"/>
        </w:rPr>
        <w:t>各市州生态环境局将项目申报材料（纸质件装订成册一式两份）于截止日期前报送到省生态环境厅，并通过生态环保金融支持项目管理系统线上申报。以后年份按照一年两次的原则，于</w:t>
      </w:r>
      <w:r>
        <w:rPr>
          <w:rFonts w:hint="eastAsia" w:ascii="方正仿宋_GBK" w:hAnsi="方正仿宋_GBK" w:eastAsia="方正仿宋_GBK" w:cs="方正仿宋_GBK"/>
          <w:color w:val="auto"/>
          <w:sz w:val="32"/>
          <w:szCs w:val="32"/>
          <w:highlight w:val="none"/>
          <w:lang w:val="en-US" w:eastAsia="zh-CN"/>
        </w:rPr>
        <w:t>6月底和12月底前各组织一次项目申报评审。</w:t>
      </w:r>
      <w:r>
        <w:rPr>
          <w:rFonts w:hint="eastAsia" w:ascii="方正仿宋_GBK" w:hAnsi="方正仿宋_GBK" w:eastAsia="方正仿宋_GBK" w:cs="方正仿宋_GBK"/>
          <w:color w:val="auto"/>
          <w:sz w:val="32"/>
          <w:szCs w:val="32"/>
          <w:highlight w:val="none"/>
          <w:lang w:eastAsia="zh-CN"/>
        </w:rPr>
        <w:t>申报材料包括：项目实施方案、项目基本情况表、项目实施承诺函、项目审查意见表。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本通知自公布之日起施行，有效期五年。</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联</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系</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人：省生态环境厅科技与财务处</w:t>
      </w:r>
      <w:r>
        <w:rPr>
          <w:rFonts w:hint="eastAsia" w:ascii="方正仿宋_GBK" w:hAnsi="方正仿宋_GBK" w:eastAsia="方正仿宋_GBK" w:cs="方正仿宋_GBK"/>
          <w:color w:val="auto"/>
          <w:sz w:val="32"/>
          <w:szCs w:val="32"/>
          <w:highlight w:val="none"/>
          <w:lang w:val="en-US" w:eastAsia="zh-CN"/>
        </w:rPr>
        <w:t xml:space="preserve">  贾新杰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联系电话：15802646868，0731-85698058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32"/>
          <w:szCs w:val="32"/>
          <w:highlight w:val="none"/>
        </w:rPr>
        <w:t>附件：</w:t>
      </w:r>
      <w:r>
        <w:rPr>
          <w:rFonts w:hint="eastAsia" w:ascii="方正仿宋_GBK" w:hAnsi="方正仿宋_GBK" w:eastAsia="方正仿宋_GBK" w:cs="方正仿宋_GBK"/>
          <w:color w:val="auto"/>
          <w:highlight w:val="none"/>
          <w:lang w:val="en-US" w:eastAsia="zh-CN"/>
        </w:rPr>
        <w:t>1.</w:t>
      </w:r>
      <w:r>
        <w:rPr>
          <w:rFonts w:hint="eastAsia" w:ascii="方正仿宋_GBK" w:hAnsi="方正仿宋_GBK" w:eastAsia="方正仿宋_GBK" w:cs="方正仿宋_GBK"/>
          <w:color w:val="auto"/>
          <w:highlight w:val="none"/>
        </w:rPr>
        <w:t>项目基本情况表（模板）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20" w:firstLineChars="500"/>
        <w:jc w:val="both"/>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2.</w:t>
      </w:r>
      <w:r>
        <w:rPr>
          <w:rFonts w:hint="eastAsia" w:ascii="方正仿宋_GBK" w:hAnsi="方正仿宋_GBK" w:eastAsia="方正仿宋_GBK" w:cs="方正仿宋_GBK"/>
          <w:color w:val="auto"/>
          <w:highlight w:val="none"/>
        </w:rPr>
        <w:t>项目实施承诺函（模板）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20" w:firstLineChars="500"/>
        <w:jc w:val="both"/>
        <w:textAlignment w:val="auto"/>
        <w:rPr>
          <w:rFonts w:ascii="仿宋_GB2312" w:hAnsi="仿宋_GB2312" w:eastAsia="仿宋_GB2312" w:cs="仿宋_GB2312"/>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项目</w:t>
      </w:r>
      <w:r>
        <w:rPr>
          <w:rFonts w:hint="eastAsia" w:ascii="方正仿宋_GBK" w:hAnsi="方正仿宋_GBK" w:eastAsia="方正仿宋_GBK" w:cs="方正仿宋_GBK"/>
          <w:color w:val="auto"/>
          <w:highlight w:val="none"/>
          <w:lang w:eastAsia="zh-CN"/>
        </w:rPr>
        <w:t>审查</w:t>
      </w:r>
      <w:r>
        <w:rPr>
          <w:rFonts w:hint="eastAsia" w:ascii="方正仿宋_GBK" w:hAnsi="方正仿宋_GBK" w:eastAsia="方正仿宋_GBK" w:cs="方正仿宋_GBK"/>
          <w:color w:val="auto"/>
          <w:highlight w:val="none"/>
        </w:rPr>
        <w:t>意见</w:t>
      </w:r>
      <w:r>
        <w:rPr>
          <w:rFonts w:hint="eastAsia" w:ascii="方正仿宋_GBK" w:hAnsi="方正仿宋_GBK" w:eastAsia="方正仿宋_GBK" w:cs="方正仿宋_GBK"/>
          <w:color w:val="auto"/>
          <w:highlight w:val="none"/>
          <w:lang w:eastAsia="zh-CN"/>
        </w:rPr>
        <w:t>表</w:t>
      </w:r>
      <w:r>
        <w:rPr>
          <w:rFonts w:hint="eastAsia" w:ascii="方正仿宋_GBK" w:hAnsi="方正仿宋_GBK" w:eastAsia="方正仿宋_GBK" w:cs="方正仿宋_GBK"/>
          <w:color w:val="auto"/>
          <w:highlight w:val="none"/>
        </w:rPr>
        <w:t>（模板）</w:t>
      </w:r>
    </w:p>
    <w:p>
      <w:pPr>
        <w:pStyle w:val="11"/>
        <w:spacing w:line="600" w:lineRule="exact"/>
        <w:ind w:firstLine="644"/>
        <w:jc w:val="both"/>
        <w:rPr>
          <w:rFonts w:ascii="仿宋_GB2312" w:hAnsi="仿宋_GB2312" w:eastAsia="仿宋_GB2312" w:cs="仿宋_GB2312"/>
        </w:rPr>
      </w:pPr>
    </w:p>
    <w:p>
      <w:pPr>
        <w:pStyle w:val="11"/>
        <w:spacing w:line="600" w:lineRule="exact"/>
        <w:ind w:firstLine="644"/>
        <w:jc w:val="both"/>
        <w:rPr>
          <w:rFonts w:ascii="仿宋_GB2312" w:hAnsi="仿宋_GB2312" w:eastAsia="仿宋_GB2312" w:cs="仿宋_GB2312"/>
        </w:rPr>
      </w:pPr>
    </w:p>
    <w:p>
      <w:pPr>
        <w:spacing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湖南省生态环境厅</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中共湖南省委金融委员会办公室</w:t>
      </w:r>
    </w:p>
    <w:p>
      <w:pPr>
        <w:spacing w:line="600" w:lineRule="exact"/>
        <w:ind w:firstLine="2560" w:firstLineChars="800"/>
        <w:jc w:val="both"/>
        <w:rPr>
          <w:rFonts w:hint="eastAsia" w:ascii="方正仿宋_GBK" w:hAnsi="方正仿宋_GBK" w:eastAsia="方正仿宋_GBK" w:cs="方正仿宋_GBK"/>
          <w:sz w:val="32"/>
          <w:szCs w:val="32"/>
          <w:lang w:eastAsia="zh-CN"/>
        </w:rPr>
      </w:pPr>
    </w:p>
    <w:p>
      <w:pPr>
        <w:spacing w:line="600" w:lineRule="exact"/>
        <w:ind w:firstLine="2560" w:firstLineChars="800"/>
        <w:jc w:val="both"/>
        <w:rPr>
          <w:rFonts w:hint="eastAsia" w:ascii="方正仿宋_GBK" w:hAnsi="方正仿宋_GBK" w:eastAsia="方正仿宋_GBK" w:cs="方正仿宋_GBK"/>
          <w:sz w:val="32"/>
          <w:szCs w:val="32"/>
          <w:lang w:eastAsia="zh-CN"/>
        </w:rPr>
      </w:pPr>
    </w:p>
    <w:p>
      <w:pPr>
        <w:spacing w:line="600" w:lineRule="exact"/>
        <w:jc w:val="both"/>
        <w:rPr>
          <w:rFonts w:hint="eastAsia" w:ascii="方正仿宋_GBK" w:hAnsi="方正仿宋_GBK" w:eastAsia="方正仿宋_GBK" w:cs="方正仿宋_GBK"/>
          <w:sz w:val="32"/>
          <w:szCs w:val="32"/>
          <w:lang w:eastAsia="zh-CN"/>
        </w:rPr>
      </w:pPr>
    </w:p>
    <w:p>
      <w:pPr>
        <w:spacing w:line="600" w:lineRule="exact"/>
        <w:jc w:val="both"/>
        <w:rPr>
          <w:rFonts w:hint="eastAsia" w:ascii="方正仿宋_GBK" w:hAnsi="方正仿宋_GBK" w:eastAsia="方正仿宋_GBK" w:cs="方正仿宋_GBK"/>
          <w:sz w:val="32"/>
          <w:szCs w:val="32"/>
          <w:lang w:eastAsia="zh-CN"/>
        </w:rPr>
      </w:pPr>
    </w:p>
    <w:p>
      <w:pPr>
        <w:spacing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湖南省发展改革委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湖南省财政厅</w:t>
      </w:r>
    </w:p>
    <w:p>
      <w:pPr>
        <w:spacing w:line="600" w:lineRule="exact"/>
        <w:jc w:val="both"/>
        <w:rPr>
          <w:rFonts w:hint="eastAsia" w:ascii="方正仿宋_GBK" w:hAnsi="方正仿宋_GBK" w:eastAsia="方正仿宋_GBK" w:cs="方正仿宋_GBK"/>
          <w:sz w:val="32"/>
          <w:szCs w:val="32"/>
          <w:lang w:eastAsia="zh-CN"/>
        </w:rPr>
      </w:pPr>
    </w:p>
    <w:p>
      <w:pPr>
        <w:spacing w:line="600" w:lineRule="exact"/>
        <w:jc w:val="both"/>
        <w:rPr>
          <w:rFonts w:hint="eastAsia" w:ascii="方正仿宋_GBK" w:hAnsi="方正仿宋_GBK" w:eastAsia="方正仿宋_GBK" w:cs="方正仿宋_GBK"/>
          <w:sz w:val="32"/>
          <w:szCs w:val="32"/>
          <w:lang w:eastAsia="zh-CN"/>
        </w:rPr>
      </w:pPr>
    </w:p>
    <w:p>
      <w:pPr>
        <w:spacing w:line="600" w:lineRule="exact"/>
        <w:jc w:val="both"/>
        <w:rPr>
          <w:rFonts w:hint="eastAsia" w:ascii="方正仿宋_GBK" w:hAnsi="方正仿宋_GBK" w:eastAsia="方正仿宋_GBK" w:cs="方正仿宋_GBK"/>
          <w:sz w:val="32"/>
          <w:szCs w:val="32"/>
          <w:lang w:eastAsia="zh-CN"/>
        </w:rPr>
      </w:pPr>
    </w:p>
    <w:p>
      <w:pPr>
        <w:spacing w:line="600" w:lineRule="exact"/>
        <w:ind w:firstLine="4800" w:firstLineChars="15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中国人民银行湖南省分行</w:t>
      </w:r>
    </w:p>
    <w:p>
      <w:pPr>
        <w:spacing w:line="600" w:lineRule="exact"/>
        <w:ind w:firstLine="5440" w:firstLineChars="17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2024年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eastAsia="zh-CN"/>
        </w:rPr>
        <w:t>日</w:t>
      </w:r>
    </w:p>
    <w:p>
      <w:pPr>
        <w:spacing w:line="600" w:lineRule="exact"/>
        <w:ind w:firstLine="596" w:firstLineChars="200"/>
        <w:jc w:val="both"/>
        <w:rPr>
          <w:rFonts w:ascii="仿宋_GB2312" w:hAnsi="仿宋_GB2312" w:eastAsia="仿宋_GB2312" w:cs="仿宋_GB2312"/>
          <w:spacing w:val="-11"/>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p>
    <w:p>
      <w:pPr>
        <w:spacing w:line="600" w:lineRule="exact"/>
        <w:jc w:val="both"/>
        <w:rPr>
          <w:rFonts w:hint="eastAsia" w:ascii="方正黑体_GBK" w:hAnsi="方正黑体_GBK" w:eastAsia="方正黑体_GBK" w:cs="方正黑体_GBK"/>
          <w:snapToGrid w:val="0"/>
          <w:spacing w:val="0"/>
          <w:sz w:val="32"/>
          <w:szCs w:val="32"/>
          <w:lang w:eastAsia="zh-CN"/>
        </w:rPr>
      </w:pPr>
      <w:r>
        <w:rPr>
          <w:rFonts w:hint="eastAsia" w:ascii="方正黑体_GBK" w:hAnsi="方正黑体_GBK" w:eastAsia="方正黑体_GBK" w:cs="方正黑体_GBK"/>
          <w:snapToGrid w:val="0"/>
          <w:spacing w:val="0"/>
          <w:sz w:val="32"/>
          <w:szCs w:val="32"/>
          <w:lang w:eastAsia="zh-CN"/>
        </w:rPr>
        <w:t>附件1</w:t>
      </w:r>
    </w:p>
    <w:p>
      <w:pPr>
        <w:pStyle w:val="2"/>
        <w:jc w:val="both"/>
        <w:rPr>
          <w:sz w:val="32"/>
          <w:szCs w:val="32"/>
          <w:lang w:eastAsia="zh-CN"/>
        </w:rPr>
      </w:pPr>
    </w:p>
    <w:p>
      <w:pPr>
        <w:rPr>
          <w:rFonts w:ascii="Times New Roman" w:hAnsi="Times New Roman" w:cs="Times New Roman"/>
          <w:spacing w:val="-40"/>
          <w:lang w:eastAsia="zh-CN"/>
          <w14:textOutline w14:w="6350" w14:cap="flat" w14:cmpd="sng" w14:algn="ctr">
            <w14:solidFill>
              <w14:srgbClr w14:val="000000"/>
            </w14:solidFill>
            <w14:prstDash w14:val="solid"/>
            <w14:miter w14:val="0"/>
          </w14:textOutline>
        </w:rPr>
      </w:pPr>
      <w:r>
        <w:rPr>
          <w:rFonts w:hint="eastAsia" w:ascii="方正小标宋_GBK" w:hAnsi="方正小标宋_GBK" w:eastAsia="方正小标宋_GBK" w:cs="方正小标宋_GBK"/>
          <w:sz w:val="40"/>
          <w:szCs w:val="40"/>
          <w:lang w:eastAsia="zh-CN"/>
        </w:rPr>
        <w:t>生态环境导向的开发（EOD）模式项目基本情况表</w:t>
      </w:r>
    </w:p>
    <w:tbl>
      <w:tblPr>
        <w:tblStyle w:val="13"/>
        <w:tblW w:w="96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1317"/>
        <w:gridCol w:w="1063"/>
        <w:gridCol w:w="1439"/>
        <w:gridCol w:w="1519"/>
        <w:gridCol w:w="2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987" w:type="dxa"/>
            <w:tcBorders>
              <w:top w:val="single" w:color="000000" w:sz="6" w:space="0"/>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项目名称</w:t>
            </w:r>
          </w:p>
        </w:tc>
        <w:tc>
          <w:tcPr>
            <w:tcW w:w="7654" w:type="dxa"/>
            <w:gridSpan w:val="5"/>
            <w:tcBorders>
              <w:top w:val="single" w:color="000000" w:sz="6" w:space="0"/>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3304" w:type="dxa"/>
            <w:gridSpan w:val="2"/>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项目组织主体名称</w:t>
            </w:r>
          </w:p>
        </w:tc>
        <w:tc>
          <w:tcPr>
            <w:tcW w:w="1063" w:type="dxa"/>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联系人</w:t>
            </w:r>
          </w:p>
        </w:tc>
        <w:tc>
          <w:tcPr>
            <w:tcW w:w="1439" w:type="dxa"/>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rPr>
              <w:t>联系方式</w:t>
            </w:r>
          </w:p>
        </w:tc>
        <w:tc>
          <w:tcPr>
            <w:tcW w:w="3835" w:type="dxa"/>
            <w:gridSpan w:val="2"/>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rPr>
              <w:t>通信地址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3304" w:type="dxa"/>
            <w:gridSpan w:val="2"/>
            <w:tcBorders>
              <w:lef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063" w:type="dxa"/>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439" w:type="dxa"/>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3304" w:type="dxa"/>
            <w:gridSpan w:val="2"/>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项目实施主体名称</w:t>
            </w:r>
          </w:p>
        </w:tc>
        <w:tc>
          <w:tcPr>
            <w:tcW w:w="1063" w:type="dxa"/>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联系人</w:t>
            </w:r>
          </w:p>
        </w:tc>
        <w:tc>
          <w:tcPr>
            <w:tcW w:w="1439" w:type="dxa"/>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rPr>
              <w:t>联系方式</w:t>
            </w:r>
          </w:p>
        </w:tc>
        <w:tc>
          <w:tcPr>
            <w:tcW w:w="3835" w:type="dxa"/>
            <w:gridSpan w:val="2"/>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rPr>
              <w:t>通信地址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3304" w:type="dxa"/>
            <w:gridSpan w:val="2"/>
            <w:tcBorders>
              <w:lef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063" w:type="dxa"/>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439" w:type="dxa"/>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9641" w:type="dxa"/>
            <w:gridSpan w:val="6"/>
            <w:tcBorders>
              <w:left w:val="single" w:color="000000" w:sz="6" w:space="0"/>
              <w:righ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pacing w:val="7"/>
                <w:sz w:val="24"/>
                <w:szCs w:val="24"/>
              </w:rPr>
              <w:t>一、项目内容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项目概况</w:t>
            </w:r>
          </w:p>
        </w:tc>
        <w:tc>
          <w:tcPr>
            <w:tcW w:w="7654" w:type="dxa"/>
            <w:gridSpan w:val="5"/>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1987"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项目实施目标</w:t>
            </w:r>
          </w:p>
        </w:tc>
        <w:tc>
          <w:tcPr>
            <w:tcW w:w="7654" w:type="dxa"/>
            <w:gridSpan w:val="5"/>
            <w:tcBorders>
              <w:right w:val="single" w:color="000000" w:sz="6" w:space="0"/>
            </w:tcBorders>
            <w:vAlign w:val="center"/>
          </w:tcPr>
          <w:p>
            <w:pPr>
              <w:pStyle w:val="12"/>
              <w:spacing w:line="400" w:lineRule="exact"/>
              <w:ind w:firstLine="452"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position w:val="7"/>
                <w:sz w:val="24"/>
                <w:szCs w:val="24"/>
              </w:rPr>
              <w:t>1.</w:t>
            </w:r>
          </w:p>
          <w:p>
            <w:pPr>
              <w:pStyle w:val="12"/>
              <w:spacing w:line="400" w:lineRule="exact"/>
              <w:ind w:firstLine="476"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1"/>
                <w:sz w:val="24"/>
                <w:szCs w:val="24"/>
              </w:rPr>
              <w:t>2.</w:t>
            </w:r>
          </w:p>
          <w:p>
            <w:pPr>
              <w:spacing w:line="400" w:lineRule="exact"/>
              <w:ind w:firstLine="472"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2"/>
                <w:position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1987"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pacing w:val="8"/>
                <w:sz w:val="24"/>
                <w:szCs w:val="24"/>
                <w:lang w:eastAsia="zh-CN"/>
              </w:rPr>
            </w:pPr>
            <w:r>
              <w:rPr>
                <w:rFonts w:hint="eastAsia" w:ascii="方正仿宋_GBK" w:hAnsi="方正仿宋_GBK" w:eastAsia="方正仿宋_GBK" w:cs="方正仿宋_GBK"/>
                <w:color w:val="auto"/>
                <w:spacing w:val="8"/>
                <w:sz w:val="24"/>
                <w:szCs w:val="24"/>
                <w:lang w:eastAsia="zh-CN"/>
              </w:rPr>
              <w:t>项目实施主体 确定方式</w:t>
            </w:r>
          </w:p>
        </w:tc>
        <w:tc>
          <w:tcPr>
            <w:tcW w:w="7654" w:type="dxa"/>
            <w:gridSpan w:val="5"/>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1987" w:type="dxa"/>
            <w:vMerge w:val="restart"/>
            <w:tcBorders>
              <w:left w:val="single" w:color="000000" w:sz="6" w:space="0"/>
              <w:bottom w:val="nil"/>
            </w:tcBorders>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项目建设内容与投资</w:t>
            </w:r>
          </w:p>
        </w:tc>
        <w:tc>
          <w:tcPr>
            <w:tcW w:w="5338" w:type="dxa"/>
            <w:gridSpan w:val="4"/>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建设内容</w:t>
            </w:r>
          </w:p>
        </w:tc>
        <w:tc>
          <w:tcPr>
            <w:tcW w:w="2316" w:type="dxa"/>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工程费用(万元)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317" w:type="dxa"/>
            <w:vAlign w:val="center"/>
          </w:tcPr>
          <w:p>
            <w:pPr>
              <w:pStyle w:val="12"/>
              <w:spacing w:line="400" w:lineRule="exact"/>
              <w:ind w:firstLine="480"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4021" w:type="dxa"/>
            <w:gridSpan w:val="3"/>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2316" w:type="dxa"/>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317" w:type="dxa"/>
            <w:vAlign w:val="center"/>
          </w:tcPr>
          <w:p>
            <w:pPr>
              <w:pStyle w:val="12"/>
              <w:spacing w:line="400" w:lineRule="exact"/>
              <w:ind w:firstLine="480"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4021" w:type="dxa"/>
            <w:gridSpan w:val="3"/>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2316" w:type="dxa"/>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1317" w:type="dxa"/>
            <w:vAlign w:val="center"/>
          </w:tcPr>
          <w:p>
            <w:pPr>
              <w:pStyle w:val="12"/>
              <w:spacing w:line="400" w:lineRule="exact"/>
              <w:ind w:firstLine="472" w:firstLineChars="20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2"/>
                <w:position w:val="2"/>
                <w:sz w:val="24"/>
                <w:szCs w:val="24"/>
              </w:rPr>
              <w:t>……</w:t>
            </w:r>
          </w:p>
        </w:tc>
        <w:tc>
          <w:tcPr>
            <w:tcW w:w="4021" w:type="dxa"/>
            <w:gridSpan w:val="3"/>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2316" w:type="dxa"/>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19" w:type="dxa"/>
            <w:gridSpan w:val="3"/>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工程费用合计(万元)：</w:t>
            </w: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19" w:type="dxa"/>
            <w:gridSpan w:val="3"/>
            <w:vAlign w:val="center"/>
          </w:tcPr>
          <w:p>
            <w:pPr>
              <w:pStyle w:val="12"/>
              <w:spacing w:line="4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pacing w:val="9"/>
                <w:sz w:val="24"/>
                <w:szCs w:val="24"/>
                <w:lang w:eastAsia="zh-CN"/>
              </w:rPr>
              <w:t>其中，生态环境治理工程费用</w:t>
            </w: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lang w:eastAsia="zh-CN"/>
              </w:rPr>
            </w:pPr>
          </w:p>
        </w:tc>
        <w:tc>
          <w:tcPr>
            <w:tcW w:w="3819" w:type="dxa"/>
            <w:gridSpan w:val="3"/>
            <w:vAlign w:val="center"/>
          </w:tcPr>
          <w:p>
            <w:pPr>
              <w:pStyle w:val="12"/>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8"/>
                <w:sz w:val="24"/>
                <w:szCs w:val="24"/>
              </w:rPr>
              <w:t>产业开发工程费用</w:t>
            </w: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1987" w:type="dxa"/>
            <w:vMerge w:val="continue"/>
            <w:tcBorders>
              <w:top w:val="nil"/>
              <w:left w:val="single" w:color="000000" w:sz="6" w:space="0"/>
              <w:bottom w:val="nil"/>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19" w:type="dxa"/>
            <w:gridSpan w:val="3"/>
            <w:vAlign w:val="center"/>
          </w:tcPr>
          <w:p>
            <w:pPr>
              <w:pStyle w:val="12"/>
              <w:spacing w:line="400" w:lineRule="exact"/>
              <w:jc w:val="center"/>
              <w:rPr>
                <w:rFonts w:hint="eastAsia" w:ascii="方正仿宋_GBK" w:hAnsi="方正仿宋_GBK" w:eastAsia="方正仿宋_GBK" w:cs="方正仿宋_GBK"/>
                <w:color w:val="auto"/>
                <w:spacing w:val="8"/>
                <w:sz w:val="24"/>
                <w:szCs w:val="24"/>
              </w:rPr>
            </w:pPr>
            <w:r>
              <w:rPr>
                <w:rFonts w:hint="eastAsia" w:ascii="方正仿宋_GBK" w:hAnsi="方正仿宋_GBK" w:eastAsia="方正仿宋_GBK" w:cs="方正仿宋_GBK"/>
                <w:color w:val="auto"/>
                <w:spacing w:val="8"/>
                <w:sz w:val="24"/>
                <w:szCs w:val="24"/>
              </w:rPr>
              <w:t>其他费用（万元）：</w:t>
            </w: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987" w:type="dxa"/>
            <w:vMerge w:val="continue"/>
            <w:tcBorders>
              <w:top w:val="nil"/>
              <w:left w:val="single" w:color="000000" w:sz="6" w:space="0"/>
              <w:bottom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rPr>
            </w:pPr>
          </w:p>
        </w:tc>
        <w:tc>
          <w:tcPr>
            <w:tcW w:w="3819" w:type="dxa"/>
            <w:gridSpan w:val="3"/>
            <w:tcBorders>
              <w:bottom w:val="single" w:color="000000" w:sz="6" w:space="0"/>
            </w:tcBorders>
            <w:vAlign w:val="center"/>
          </w:tcPr>
          <w:p>
            <w:pPr>
              <w:pStyle w:val="12"/>
              <w:spacing w:line="400" w:lineRule="exact"/>
              <w:ind w:firstLine="512" w:firstLineChars="200"/>
              <w:jc w:val="center"/>
              <w:rPr>
                <w:rFonts w:hint="eastAsia" w:ascii="方正仿宋_GBK" w:hAnsi="方正仿宋_GBK" w:eastAsia="方正仿宋_GBK" w:cs="方正仿宋_GBK"/>
                <w:color w:val="auto"/>
                <w:spacing w:val="8"/>
                <w:sz w:val="24"/>
                <w:szCs w:val="24"/>
                <w:lang w:eastAsia="zh-CN"/>
              </w:rPr>
            </w:pPr>
            <w:r>
              <w:rPr>
                <w:rFonts w:hint="eastAsia" w:ascii="方正仿宋_GBK" w:hAnsi="方正仿宋_GBK" w:eastAsia="方正仿宋_GBK" w:cs="方正仿宋_GBK"/>
                <w:color w:val="auto"/>
                <w:spacing w:val="8"/>
                <w:sz w:val="24"/>
                <w:szCs w:val="24"/>
                <w:lang w:eastAsia="zh-CN"/>
              </w:rPr>
              <w:t>项目总投资（万元）：</w:t>
            </w:r>
          </w:p>
        </w:tc>
        <w:tc>
          <w:tcPr>
            <w:tcW w:w="3835" w:type="dxa"/>
            <w:gridSpan w:val="2"/>
            <w:tcBorders>
              <w:bottom w:val="single" w:color="000000" w:sz="6" w:space="0"/>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color w:val="auto"/>
                <w:sz w:val="24"/>
                <w:szCs w:val="24"/>
                <w:lang w:eastAsia="zh-CN"/>
              </w:rPr>
            </w:pPr>
          </w:p>
        </w:tc>
      </w:tr>
    </w:tbl>
    <w:p>
      <w:pPr>
        <w:spacing w:line="600" w:lineRule="exact"/>
        <w:ind w:firstLine="640" w:firstLineChars="200"/>
        <w:jc w:val="both"/>
        <w:rPr>
          <w:rFonts w:ascii="Times New Roman" w:hAnsi="Times New Roman" w:cs="Times New Roman"/>
          <w:lang w:eastAsia="zh-CN"/>
        </w:rPr>
      </w:pPr>
    </w:p>
    <w:p>
      <w:pPr>
        <w:spacing w:line="600" w:lineRule="exact"/>
        <w:ind w:firstLine="640" w:firstLineChars="200"/>
        <w:jc w:val="both"/>
        <w:rPr>
          <w:rFonts w:ascii="Times New Roman" w:hAnsi="Times New Roman" w:cs="Times New Roman"/>
          <w:lang w:eastAsia="zh-CN"/>
        </w:rPr>
        <w:sectPr>
          <w:headerReference r:id="rId3" w:type="first"/>
          <w:footerReference r:id="rId5" w:type="first"/>
          <w:footerReference r:id="rId4" w:type="default"/>
          <w:pgSz w:w="11900" w:h="16838"/>
          <w:pgMar w:top="1429" w:right="1429" w:bottom="1429" w:left="1429" w:header="0" w:footer="1188" w:gutter="0"/>
          <w:pgNumType w:fmt="numberInDash"/>
          <w:cols w:space="0" w:num="1"/>
        </w:sectPr>
      </w:pPr>
    </w:p>
    <w:tbl>
      <w:tblPr>
        <w:tblStyle w:val="13"/>
        <w:tblpPr w:leftFromText="180" w:rightFromText="180" w:vertAnchor="text" w:horzAnchor="page" w:tblpXSpec="center" w:tblpY="233"/>
        <w:tblOverlap w:val="never"/>
        <w:tblW w:w="94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1317"/>
        <w:gridCol w:w="1063"/>
        <w:gridCol w:w="1439"/>
        <w:gridCol w:w="2053"/>
        <w:gridCol w:w="1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9495" w:type="dxa"/>
            <w:gridSpan w:val="6"/>
            <w:tcBorders>
              <w:top w:val="single" w:color="000000" w:sz="6" w:space="0"/>
              <w:left w:val="single" w:color="000000" w:sz="6" w:space="0"/>
              <w:right w:val="single" w:color="000000" w:sz="6" w:space="0"/>
            </w:tcBorders>
            <w:vAlign w:val="center"/>
          </w:tcPr>
          <w:p>
            <w:pPr>
              <w:pStyle w:val="12"/>
              <w:spacing w:line="400" w:lineRule="exact"/>
              <w:ind w:firstLine="508" w:firstLine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auto"/>
                <w:spacing w:val="7"/>
                <w:sz w:val="24"/>
                <w:szCs w:val="24"/>
              </w:rPr>
              <w:t>二、资金筹措情况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1841" w:type="dxa"/>
            <w:vMerge w:val="restart"/>
            <w:tcBorders>
              <w:left w:val="single" w:color="000000" w:sz="6" w:space="0"/>
              <w:bottom w:val="nil"/>
            </w:tcBorders>
            <w:vAlign w:val="center"/>
          </w:tcPr>
          <w:p>
            <w:pPr>
              <w:pStyle w:val="12"/>
              <w:spacing w:line="400" w:lineRule="exact"/>
              <w:jc w:val="center"/>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5"/>
                <w:sz w:val="24"/>
                <w:szCs w:val="24"/>
              </w:rPr>
              <w:t>资金来源</w:t>
            </w:r>
          </w:p>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（万元）</w:t>
            </w:r>
          </w:p>
        </w:tc>
        <w:tc>
          <w:tcPr>
            <w:tcW w:w="2380" w:type="dxa"/>
            <w:gridSpan w:val="2"/>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7"/>
                <w:sz w:val="24"/>
                <w:szCs w:val="24"/>
              </w:rPr>
              <w:t>企业自有资金</w:t>
            </w:r>
          </w:p>
        </w:tc>
        <w:tc>
          <w:tcPr>
            <w:tcW w:w="1439" w:type="dxa"/>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7"/>
                <w:sz w:val="24"/>
                <w:szCs w:val="24"/>
              </w:rPr>
              <w:t>银行贷款</w:t>
            </w:r>
          </w:p>
        </w:tc>
        <w:tc>
          <w:tcPr>
            <w:tcW w:w="3835" w:type="dxa"/>
            <w:gridSpan w:val="2"/>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7"/>
                <w:sz w:val="24"/>
                <w:szCs w:val="24"/>
                <w:lang w:eastAsia="zh-CN"/>
              </w:rPr>
              <w:t>其它形式</w:t>
            </w:r>
            <w:r>
              <w:rPr>
                <w:rFonts w:hint="eastAsia" w:ascii="方正仿宋_GBK" w:hAnsi="方正仿宋_GBK" w:eastAsia="方正仿宋_GBK" w:cs="方正仿宋_GBK"/>
                <w:spacing w:val="4"/>
                <w:sz w:val="24"/>
                <w:szCs w:val="24"/>
                <w:lang w:eastAsia="zh-CN"/>
              </w:rPr>
              <w:t>(说明具体融资方式)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841" w:type="dxa"/>
            <w:vMerge w:val="continue"/>
            <w:tcBorders>
              <w:top w:val="nil"/>
              <w:lef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sz w:val="24"/>
                <w:szCs w:val="24"/>
                <w:lang w:eastAsia="zh-CN"/>
              </w:rPr>
            </w:pPr>
          </w:p>
        </w:tc>
        <w:tc>
          <w:tcPr>
            <w:tcW w:w="2380" w:type="dxa"/>
            <w:gridSpan w:val="2"/>
            <w:vAlign w:val="center"/>
          </w:tcPr>
          <w:p>
            <w:pPr>
              <w:spacing w:line="400" w:lineRule="exact"/>
              <w:ind w:firstLine="480" w:firstLineChars="200"/>
              <w:jc w:val="center"/>
              <w:rPr>
                <w:rFonts w:hint="eastAsia" w:ascii="方正仿宋_GBK" w:hAnsi="方正仿宋_GBK" w:eastAsia="方正仿宋_GBK" w:cs="方正仿宋_GBK"/>
                <w:sz w:val="24"/>
                <w:szCs w:val="24"/>
                <w:lang w:eastAsia="zh-CN"/>
              </w:rPr>
            </w:pPr>
          </w:p>
        </w:tc>
        <w:tc>
          <w:tcPr>
            <w:tcW w:w="1439" w:type="dxa"/>
            <w:vAlign w:val="center"/>
          </w:tcPr>
          <w:p>
            <w:pPr>
              <w:spacing w:line="400" w:lineRule="exact"/>
              <w:ind w:firstLine="480" w:firstLineChars="200"/>
              <w:jc w:val="center"/>
              <w:rPr>
                <w:rFonts w:hint="eastAsia" w:ascii="方正仿宋_GBK" w:hAnsi="方正仿宋_GBK" w:eastAsia="方正仿宋_GBK" w:cs="方正仿宋_GBK"/>
                <w:sz w:val="24"/>
                <w:szCs w:val="24"/>
                <w:lang w:eastAsia="zh-CN"/>
              </w:rPr>
            </w:pPr>
          </w:p>
        </w:tc>
        <w:tc>
          <w:tcPr>
            <w:tcW w:w="3835" w:type="dxa"/>
            <w:gridSpan w:val="2"/>
            <w:tcBorders>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495" w:type="dxa"/>
            <w:gridSpan w:val="6"/>
            <w:tcBorders>
              <w:left w:val="single" w:color="000000" w:sz="6" w:space="0"/>
              <w:right w:val="single" w:color="000000" w:sz="6" w:space="0"/>
            </w:tcBorders>
            <w:vAlign w:val="center"/>
          </w:tcPr>
          <w:p>
            <w:pPr>
              <w:pStyle w:val="12"/>
              <w:spacing w:line="400" w:lineRule="exact"/>
              <w:ind w:firstLine="508" w:firstLineChars="20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bCs/>
                <w:color w:val="auto"/>
                <w:spacing w:val="7"/>
                <w:sz w:val="24"/>
                <w:szCs w:val="24"/>
                <w:lang w:eastAsia="zh-CN"/>
              </w:rPr>
              <w:t>三、项目资金平衡情况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jc w:val="center"/>
        </w:trPr>
        <w:tc>
          <w:tcPr>
            <w:tcW w:w="1841"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5"/>
                <w:sz w:val="24"/>
                <w:szCs w:val="24"/>
              </w:rPr>
              <w:t>建设运维成本</w:t>
            </w:r>
          </w:p>
        </w:tc>
        <w:tc>
          <w:tcPr>
            <w:tcW w:w="7654" w:type="dxa"/>
            <w:gridSpan w:val="5"/>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position w:val="4"/>
                <w:sz w:val="24"/>
                <w:szCs w:val="24"/>
              </w:rPr>
              <w:t>1.建设成本</w:t>
            </w:r>
          </w:p>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2.运维成本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1841" w:type="dxa"/>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5"/>
                <w:sz w:val="24"/>
                <w:szCs w:val="24"/>
              </w:rPr>
              <w:t>收益来源</w:t>
            </w:r>
          </w:p>
        </w:tc>
        <w:tc>
          <w:tcPr>
            <w:tcW w:w="7654" w:type="dxa"/>
            <w:gridSpan w:val="5"/>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7"/>
                <w:position w:val="8"/>
                <w:sz w:val="24"/>
                <w:szCs w:val="24"/>
              </w:rPr>
              <w:t>1.</w:t>
            </w:r>
          </w:p>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rPr>
              <w:t>2.</w:t>
            </w:r>
          </w:p>
          <w:p>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pacing w:val="-2"/>
                <w:position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495" w:type="dxa"/>
            <w:gridSpan w:val="6"/>
            <w:tcBorders>
              <w:left w:val="single" w:color="000000" w:sz="6" w:space="0"/>
              <w:right w:val="single" w:color="000000" w:sz="6" w:space="0"/>
            </w:tcBorders>
            <w:vAlign w:val="center"/>
          </w:tcPr>
          <w:p>
            <w:pPr>
              <w:pStyle w:val="12"/>
              <w:spacing w:line="400" w:lineRule="exact"/>
              <w:ind w:firstLine="508" w:firstLine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auto"/>
                <w:spacing w:val="7"/>
                <w:sz w:val="24"/>
                <w:szCs w:val="24"/>
              </w:rPr>
              <w:t>四、主要财务指标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3158" w:type="dxa"/>
            <w:gridSpan w:val="2"/>
            <w:tcBorders>
              <w:lef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8"/>
                <w:sz w:val="24"/>
                <w:szCs w:val="24"/>
                <w:lang w:eastAsia="zh-CN"/>
              </w:rPr>
              <w:t>项目投项目投资所得税后财务内部</w:t>
            </w:r>
            <w:r>
              <w:rPr>
                <w:rFonts w:hint="eastAsia" w:ascii="方正仿宋_GBK" w:hAnsi="方正仿宋_GBK" w:eastAsia="方正仿宋_GBK" w:cs="方正仿宋_GBK"/>
                <w:spacing w:val="9"/>
                <w:sz w:val="24"/>
                <w:szCs w:val="24"/>
                <w:lang w:eastAsia="zh-CN"/>
              </w:rPr>
              <w:t xml:space="preserve"> </w:t>
            </w:r>
            <w:r>
              <w:rPr>
                <w:rFonts w:hint="eastAsia" w:ascii="方正仿宋_GBK" w:hAnsi="方正仿宋_GBK" w:eastAsia="方正仿宋_GBK" w:cs="方正仿宋_GBK"/>
                <w:spacing w:val="4"/>
                <w:sz w:val="24"/>
                <w:szCs w:val="24"/>
                <w:lang w:eastAsia="zh-CN"/>
              </w:rPr>
              <w:t>收益率（%）</w:t>
            </w:r>
          </w:p>
        </w:tc>
        <w:tc>
          <w:tcPr>
            <w:tcW w:w="2502" w:type="dxa"/>
            <w:gridSpan w:val="2"/>
            <w:vAlign w:val="center"/>
          </w:tcPr>
          <w:p>
            <w:pPr>
              <w:pStyle w:val="12"/>
              <w:spacing w:line="400" w:lineRule="exact"/>
              <w:jc w:val="center"/>
              <w:rPr>
                <w:rFonts w:hint="eastAsia" w:ascii="方正仿宋_GBK" w:hAnsi="方正仿宋_GBK" w:eastAsia="方正仿宋_GBK" w:cs="方正仿宋_GBK"/>
                <w:spacing w:val="8"/>
                <w:sz w:val="24"/>
                <w:szCs w:val="24"/>
                <w:lang w:eastAsia="zh-CN"/>
              </w:rPr>
            </w:pPr>
            <w:r>
              <w:rPr>
                <w:rFonts w:hint="eastAsia" w:ascii="方正仿宋_GBK" w:hAnsi="方正仿宋_GBK" w:eastAsia="方正仿宋_GBK" w:cs="方正仿宋_GBK"/>
                <w:spacing w:val="8"/>
                <w:sz w:val="24"/>
                <w:szCs w:val="24"/>
                <w:lang w:eastAsia="zh-CN"/>
              </w:rPr>
              <w:t>所得税后财务净现值</w:t>
            </w:r>
          </w:p>
          <w:p>
            <w:pPr>
              <w:pStyle w:val="12"/>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2"/>
                <w:sz w:val="24"/>
                <w:szCs w:val="24"/>
                <w:lang w:eastAsia="zh-CN"/>
              </w:rPr>
              <w:t>（万元）</w:t>
            </w:r>
          </w:p>
        </w:tc>
        <w:tc>
          <w:tcPr>
            <w:tcW w:w="2053" w:type="dxa"/>
            <w:vAlign w:val="center"/>
          </w:tcPr>
          <w:p>
            <w:pPr>
              <w:pStyle w:val="12"/>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8"/>
                <w:sz w:val="24"/>
                <w:szCs w:val="24"/>
                <w:lang w:eastAsia="zh-CN"/>
              </w:rPr>
              <w:t>所得税后投资回收期</w:t>
            </w:r>
            <w:r>
              <w:rPr>
                <w:rFonts w:hint="eastAsia" w:ascii="方正仿宋_GBK" w:hAnsi="方正仿宋_GBK" w:eastAsia="方正仿宋_GBK" w:cs="方正仿宋_GBK"/>
                <w:spacing w:val="-1"/>
                <w:sz w:val="24"/>
                <w:szCs w:val="24"/>
                <w:lang w:eastAsia="zh-CN"/>
              </w:rPr>
              <w:t>（年）</w:t>
            </w:r>
          </w:p>
        </w:tc>
        <w:tc>
          <w:tcPr>
            <w:tcW w:w="1782" w:type="dxa"/>
            <w:tcBorders>
              <w:right w:val="single" w:color="000000" w:sz="6" w:space="0"/>
            </w:tcBorders>
            <w:vAlign w:val="center"/>
          </w:tcPr>
          <w:p>
            <w:pPr>
              <w:pStyle w:val="1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平均偿债备付率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158" w:type="dxa"/>
            <w:gridSpan w:val="2"/>
            <w:tcBorders>
              <w:left w:val="single" w:color="000000" w:sz="6" w:space="0"/>
              <w:bottom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b/>
                <w:bCs/>
                <w:sz w:val="24"/>
                <w:szCs w:val="24"/>
              </w:rPr>
            </w:pPr>
          </w:p>
        </w:tc>
        <w:tc>
          <w:tcPr>
            <w:tcW w:w="2502" w:type="dxa"/>
            <w:gridSpan w:val="2"/>
            <w:tcBorders>
              <w:bottom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b/>
                <w:bCs/>
                <w:sz w:val="24"/>
                <w:szCs w:val="24"/>
              </w:rPr>
            </w:pPr>
          </w:p>
        </w:tc>
        <w:tc>
          <w:tcPr>
            <w:tcW w:w="2053" w:type="dxa"/>
            <w:tcBorders>
              <w:bottom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b/>
                <w:bCs/>
                <w:sz w:val="24"/>
                <w:szCs w:val="24"/>
              </w:rPr>
            </w:pPr>
          </w:p>
        </w:tc>
        <w:tc>
          <w:tcPr>
            <w:tcW w:w="1782" w:type="dxa"/>
            <w:tcBorders>
              <w:bottom w:val="single" w:color="000000" w:sz="6" w:space="0"/>
              <w:right w:val="single" w:color="000000" w:sz="6" w:space="0"/>
            </w:tcBorders>
            <w:vAlign w:val="center"/>
          </w:tcPr>
          <w:p>
            <w:pPr>
              <w:spacing w:line="400" w:lineRule="exact"/>
              <w:ind w:firstLine="480" w:firstLineChars="200"/>
              <w:jc w:val="center"/>
              <w:rPr>
                <w:rFonts w:hint="eastAsia" w:ascii="方正仿宋_GBK" w:hAnsi="方正仿宋_GBK" w:eastAsia="方正仿宋_GBK" w:cs="方正仿宋_GBK"/>
                <w:b/>
                <w:bCs/>
                <w:sz w:val="24"/>
                <w:szCs w:val="24"/>
              </w:rPr>
            </w:pPr>
          </w:p>
        </w:tc>
      </w:tr>
    </w:tbl>
    <w:p>
      <w:pPr>
        <w:spacing w:line="400" w:lineRule="exact"/>
        <w:ind w:firstLine="500" w:firstLineChars="20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填表说明：</w:t>
      </w:r>
    </w:p>
    <w:p>
      <w:pPr>
        <w:spacing w:line="400" w:lineRule="exact"/>
        <w:ind w:firstLine="520"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0"/>
          <w:sz w:val="24"/>
          <w:szCs w:val="24"/>
          <w:lang w:eastAsia="zh-CN"/>
        </w:rPr>
        <w:t>1.项目组织主体为市、县（区）人民政府或园区管委会、有条件</w:t>
      </w:r>
      <w:r>
        <w:rPr>
          <w:rFonts w:hint="eastAsia" w:ascii="方正仿宋_GBK" w:hAnsi="方正仿宋_GBK" w:eastAsia="方正仿宋_GBK" w:cs="方正仿宋_GBK"/>
          <w:spacing w:val="9"/>
          <w:sz w:val="24"/>
          <w:szCs w:val="24"/>
          <w:lang w:eastAsia="zh-CN"/>
        </w:rPr>
        <w:t>的乡镇；项目实施主体为负责项</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6"/>
          <w:sz w:val="24"/>
          <w:szCs w:val="24"/>
          <w:lang w:eastAsia="zh-CN"/>
        </w:rPr>
        <w:t>目建设运维一体化实施的企业，</w:t>
      </w:r>
      <w:r>
        <w:rPr>
          <w:rFonts w:hint="eastAsia" w:ascii="方正仿宋_GBK" w:hAnsi="方正仿宋_GBK" w:eastAsia="方正仿宋_GBK" w:cs="方正仿宋_GBK"/>
          <w:spacing w:val="-60"/>
          <w:sz w:val="24"/>
          <w:szCs w:val="24"/>
          <w:lang w:eastAsia="zh-CN"/>
        </w:rPr>
        <w:t xml:space="preserve"> </w:t>
      </w:r>
      <w:r>
        <w:rPr>
          <w:rFonts w:hint="eastAsia" w:ascii="方正仿宋_GBK" w:hAnsi="方正仿宋_GBK" w:eastAsia="方正仿宋_GBK" w:cs="方正仿宋_GBK"/>
          <w:spacing w:val="6"/>
          <w:sz w:val="24"/>
          <w:szCs w:val="24"/>
          <w:lang w:eastAsia="zh-CN"/>
        </w:rPr>
        <w:t>尚未确定的</w:t>
      </w:r>
      <w:r>
        <w:rPr>
          <w:rFonts w:hint="eastAsia" w:ascii="方正仿宋_GBK" w:hAnsi="方正仿宋_GBK" w:eastAsia="方正仿宋_GBK" w:cs="方正仿宋_GBK"/>
          <w:spacing w:val="5"/>
          <w:sz w:val="24"/>
          <w:szCs w:val="24"/>
          <w:lang w:eastAsia="zh-CN"/>
        </w:rPr>
        <w:t>可不填写。</w:t>
      </w:r>
    </w:p>
    <w:p>
      <w:pPr>
        <w:spacing w:line="400" w:lineRule="exact"/>
        <w:ind w:firstLine="520"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0"/>
          <w:sz w:val="24"/>
          <w:szCs w:val="24"/>
          <w:lang w:eastAsia="zh-CN"/>
        </w:rPr>
        <w:t>2.项目概况为项目区域范围，拟解决的突出环境问题，生态环境保护与产业融合发展思路、实施</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4"/>
          <w:sz w:val="24"/>
          <w:szCs w:val="24"/>
          <w:lang w:eastAsia="zh-CN"/>
        </w:rPr>
        <w:t>周期等。</w:t>
      </w:r>
    </w:p>
    <w:p>
      <w:pPr>
        <w:spacing w:line="400" w:lineRule="exact"/>
        <w:ind w:firstLine="516"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9"/>
          <w:sz w:val="24"/>
          <w:szCs w:val="24"/>
          <w:lang w:eastAsia="zh-CN"/>
        </w:rPr>
        <w:t>3.项目实施目标为项目经济、社会、环境目标。重点明确生态环境治理改善的定量目标。</w:t>
      </w:r>
    </w:p>
    <w:p>
      <w:pPr>
        <w:spacing w:line="400" w:lineRule="exact"/>
        <w:ind w:firstLine="520"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0"/>
          <w:sz w:val="24"/>
          <w:szCs w:val="24"/>
          <w:lang w:eastAsia="zh-CN"/>
        </w:rPr>
        <w:t>4.项目实施主体确定方式为依法依规确定</w:t>
      </w:r>
      <w:r>
        <w:rPr>
          <w:rFonts w:hint="eastAsia" w:ascii="方正仿宋_GBK" w:hAnsi="方正仿宋_GBK" w:eastAsia="方正仿宋_GBK" w:cs="方正仿宋_GBK"/>
          <w:spacing w:val="-40"/>
          <w:sz w:val="24"/>
          <w:szCs w:val="24"/>
          <w:lang w:eastAsia="zh-CN"/>
        </w:rPr>
        <w:t xml:space="preserve"> </w:t>
      </w:r>
      <w:r>
        <w:rPr>
          <w:rFonts w:hint="eastAsia" w:ascii="方正仿宋_GBK" w:hAnsi="方正仿宋_GBK" w:eastAsia="方正仿宋_GBK" w:cs="方正仿宋_GBK"/>
          <w:sz w:val="24"/>
          <w:szCs w:val="24"/>
          <w:lang w:eastAsia="zh-CN"/>
        </w:rPr>
        <w:t>EOD</w:t>
      </w:r>
      <w:r>
        <w:rPr>
          <w:rFonts w:hint="eastAsia" w:ascii="方正仿宋_GBK" w:hAnsi="方正仿宋_GBK" w:eastAsia="方正仿宋_GBK" w:cs="方正仿宋_GBK"/>
          <w:spacing w:val="-37"/>
          <w:sz w:val="24"/>
          <w:szCs w:val="24"/>
          <w:lang w:eastAsia="zh-CN"/>
        </w:rPr>
        <w:t xml:space="preserve"> </w:t>
      </w:r>
      <w:r>
        <w:rPr>
          <w:rFonts w:hint="eastAsia" w:ascii="方正仿宋_GBK" w:hAnsi="方正仿宋_GBK" w:eastAsia="方正仿宋_GBK" w:cs="方正仿宋_GBK"/>
          <w:spacing w:val="10"/>
          <w:sz w:val="24"/>
          <w:szCs w:val="24"/>
          <w:lang w:eastAsia="zh-CN"/>
        </w:rPr>
        <w:t>项目实施主体的具体竞争性方式，如公开招标、竞</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6"/>
          <w:sz w:val="24"/>
          <w:szCs w:val="24"/>
          <w:lang w:eastAsia="zh-CN"/>
        </w:rPr>
        <w:t>争性磋商等。</w:t>
      </w:r>
    </w:p>
    <w:p>
      <w:pPr>
        <w:spacing w:line="400" w:lineRule="exact"/>
        <w:ind w:firstLine="520" w:firstLineChars="2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0"/>
          <w:sz w:val="24"/>
          <w:szCs w:val="24"/>
          <w:lang w:eastAsia="zh-CN"/>
        </w:rPr>
        <w:t>5.其他费用包括工程建设其他费用、预备费、建设期利息、流动资金等除工程建设费用以外</w:t>
      </w:r>
      <w:r>
        <w:rPr>
          <w:rFonts w:hint="eastAsia" w:ascii="方正仿宋_GBK" w:hAnsi="方正仿宋_GBK" w:eastAsia="方正仿宋_GBK" w:cs="方正仿宋_GBK"/>
          <w:spacing w:val="9"/>
          <w:sz w:val="24"/>
          <w:szCs w:val="24"/>
          <w:lang w:eastAsia="zh-CN"/>
        </w:rPr>
        <w:t>的费</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4"/>
          <w:sz w:val="24"/>
          <w:szCs w:val="24"/>
          <w:lang w:eastAsia="zh-CN"/>
        </w:rPr>
        <w:t>用之和。</w:t>
      </w:r>
    </w:p>
    <w:p>
      <w:pPr>
        <w:spacing w:line="600" w:lineRule="exact"/>
        <w:ind w:firstLine="480" w:firstLineChars="200"/>
        <w:jc w:val="both"/>
        <w:rPr>
          <w:rFonts w:hint="eastAsia" w:ascii="方正仿宋_GBK" w:hAnsi="方正仿宋_GBK" w:eastAsia="方正仿宋_GBK" w:cs="方正仿宋_GBK"/>
          <w:sz w:val="24"/>
          <w:szCs w:val="24"/>
          <w:lang w:eastAsia="zh-CN"/>
        </w:rPr>
        <w:sectPr>
          <w:footerReference r:id="rId6" w:type="default"/>
          <w:pgSz w:w="11900" w:h="16838"/>
          <w:pgMar w:top="1429" w:right="1429" w:bottom="1429" w:left="1429" w:header="0" w:footer="1188" w:gutter="0"/>
          <w:pgNumType w:fmt="numberInDash"/>
          <w:cols w:space="0" w:num="1"/>
        </w:sectPr>
      </w:pPr>
    </w:p>
    <w:p>
      <w:pPr>
        <w:spacing w:line="600" w:lineRule="exact"/>
        <w:jc w:val="both"/>
        <w:rPr>
          <w:rFonts w:hint="eastAsia" w:ascii="方正黑体_GBK" w:hAnsi="方正黑体_GBK" w:eastAsia="方正黑体_GBK" w:cs="方正黑体_GBK"/>
          <w:snapToGrid w:val="0"/>
          <w:spacing w:val="0"/>
          <w:sz w:val="32"/>
          <w:szCs w:val="32"/>
          <w:lang w:val="en-US" w:eastAsia="zh-CN"/>
        </w:rPr>
      </w:pPr>
      <w:r>
        <w:rPr>
          <w:rFonts w:hint="eastAsia" w:ascii="方正黑体_GBK" w:hAnsi="方正黑体_GBK" w:eastAsia="方正黑体_GBK" w:cs="方正黑体_GBK"/>
          <w:snapToGrid w:val="0"/>
          <w:spacing w:val="0"/>
          <w:sz w:val="32"/>
          <w:szCs w:val="32"/>
          <w:lang w:eastAsia="zh-CN"/>
        </w:rPr>
        <w:t>附件</w:t>
      </w:r>
      <w:r>
        <w:rPr>
          <w:rFonts w:hint="eastAsia" w:ascii="方正黑体_GBK" w:hAnsi="方正黑体_GBK" w:eastAsia="方正黑体_GBK" w:cs="方正黑体_GBK"/>
          <w:snapToGrid w:val="0"/>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微软雅黑" w:cs="Times New Roman"/>
          <w:spacing w:val="-2"/>
          <w:sz w:val="37"/>
          <w:szCs w:val="37"/>
          <w:lang w:eastAsia="zh-CN"/>
        </w:rPr>
      </w:pPr>
    </w:p>
    <w:p>
      <w:pPr>
        <w:spacing w:line="600" w:lineRule="exact"/>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pacing w:val="-2"/>
          <w:sz w:val="40"/>
          <w:szCs w:val="40"/>
          <w:lang w:eastAsia="zh-CN"/>
        </w:rPr>
        <w:t>项目实施承诺函</w:t>
      </w:r>
    </w:p>
    <w:p>
      <w:pPr>
        <w:spacing w:line="600" w:lineRule="exact"/>
        <w:ind w:firstLine="636" w:firstLineChars="200"/>
        <w:jc w:val="both"/>
        <w:rPr>
          <w:rFonts w:ascii="Times New Roman" w:hAnsi="Times New Roman" w:eastAsia="仿宋" w:cs="Times New Roman"/>
          <w:lang w:eastAsia="zh-CN"/>
        </w:rPr>
      </w:pPr>
    </w:p>
    <w:p>
      <w:pPr>
        <w:pStyle w:val="2"/>
        <w:keepNext w:val="0"/>
        <w:keepLines w:val="0"/>
        <w:pageBreakBefore w:val="0"/>
        <w:widowControl w:val="0"/>
        <w:tabs>
          <w:tab w:val="left" w:pos="2766"/>
        </w:tabs>
        <w:kinsoku/>
        <w:wordWrap/>
        <w:overflowPunct/>
        <w:topLinePunct w:val="0"/>
        <w:autoSpaceDE/>
        <w:autoSpaceDN/>
        <w:bidi w:val="0"/>
        <w:adjustRightInd/>
        <w:snapToGrid/>
        <w:spacing w:line="540" w:lineRule="exact"/>
        <w:ind w:firstLine="636"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pacing w:val="-127"/>
          <w:sz w:val="32"/>
          <w:szCs w:val="32"/>
          <w:lang w:eastAsia="zh-CN"/>
        </w:rPr>
        <w:t xml:space="preserve"> </w:t>
      </w:r>
      <w:r>
        <w:rPr>
          <w:rFonts w:hint="eastAsia" w:ascii="方正仿宋_GBK" w:hAnsi="方正仿宋_GBK" w:eastAsia="方正仿宋_GBK" w:cs="方正仿宋_GBK"/>
          <w:spacing w:val="1"/>
          <w:sz w:val="32"/>
          <w:szCs w:val="32"/>
          <w:lang w:eastAsia="zh-CN"/>
        </w:rPr>
        <w:t>项目严格按照</w:t>
      </w:r>
      <w:r>
        <w:rPr>
          <w:rFonts w:hint="eastAsia" w:ascii="方正仿宋_GBK" w:hAnsi="方正仿宋_GBK" w:eastAsia="方正仿宋_GBK" w:cs="方正仿宋_GBK"/>
          <w:spacing w:val="-58"/>
          <w:sz w:val="32"/>
          <w:szCs w:val="32"/>
          <w:lang w:eastAsia="zh-CN"/>
        </w:rPr>
        <w:t xml:space="preserve"> </w:t>
      </w:r>
      <w:r>
        <w:rPr>
          <w:rFonts w:hint="eastAsia" w:ascii="方正仿宋_GBK" w:hAnsi="方正仿宋_GBK" w:eastAsia="方正仿宋_GBK" w:cs="方正仿宋_GBK"/>
          <w:sz w:val="32"/>
          <w:szCs w:val="32"/>
          <w:lang w:eastAsia="zh-CN"/>
        </w:rPr>
        <w:t>EOD</w:t>
      </w:r>
      <w:r>
        <w:rPr>
          <w:rFonts w:hint="eastAsia" w:ascii="方正仿宋_GBK" w:hAnsi="方正仿宋_GBK" w:eastAsia="方正仿宋_GBK" w:cs="方正仿宋_GBK"/>
          <w:spacing w:val="-63"/>
          <w:sz w:val="32"/>
          <w:szCs w:val="32"/>
          <w:lang w:eastAsia="zh-CN"/>
        </w:rPr>
        <w:t xml:space="preserve"> </w:t>
      </w:r>
      <w:r>
        <w:rPr>
          <w:rFonts w:hint="eastAsia" w:ascii="方正仿宋_GBK" w:hAnsi="方正仿宋_GBK" w:eastAsia="方正仿宋_GBK" w:cs="方正仿宋_GBK"/>
          <w:spacing w:val="1"/>
          <w:sz w:val="32"/>
          <w:szCs w:val="32"/>
          <w:lang w:eastAsia="zh-CN"/>
        </w:rPr>
        <w:t>模式要求规范实施，并承诺</w:t>
      </w:r>
      <w:r>
        <w:rPr>
          <w:rFonts w:hint="eastAsia" w:ascii="方正仿宋_GBK" w:hAnsi="方正仿宋_GBK" w:eastAsia="方正仿宋_GBK" w:cs="方正仿宋_GBK"/>
          <w:spacing w:val="-8"/>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1.本项目整体立项、一体化实施，在项目层面实现产业开发收益对生态环境治理建设与运营的持续反哺。</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2.按照有关规定要求，通过竞争性方式确定一个具备投资建设与运维经营能力的市场主体。市场主体按照自主决策、自负盈亏的原则，推进项目实施。</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3.项目符合国家和地方产业政策等要求，项目实施中严格落实项目立项、招投标、投融资、国土空间规划、土地利用、资源开发、资产处置、资金使用、债务管控等相关法规政策要求，依法依规推进项目规范实施。</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 xml:space="preserve"> 4.严格落实资金监管要求，督促项目资金合规使用，防止资金挪用。</w:t>
      </w:r>
    </w:p>
    <w:p>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5.本项目实施中不使用中央、地方财政资金，不以任何形式增加地方政府隐性债务。</w:t>
      </w:r>
    </w:p>
    <w:p>
      <w:pPr>
        <w:pStyle w:val="2"/>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6.项目成熟度高，投资强度合理，拟于1年内开工建设。</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pacing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4710" w:firstLineChars="15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项目组织主体（签章</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4896" w:firstLineChars="17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5"/>
          <w:sz w:val="32"/>
          <w:szCs w:val="32"/>
          <w:lang w:eastAsia="zh-CN"/>
        </w:rPr>
        <w:t>年</w:t>
      </w:r>
      <w:r>
        <w:rPr>
          <w:rFonts w:hint="eastAsia" w:ascii="方正仿宋_GBK" w:hAnsi="方正仿宋_GBK" w:eastAsia="方正仿宋_GBK" w:cs="方正仿宋_GBK"/>
          <w:spacing w:val="5"/>
          <w:sz w:val="32"/>
          <w:szCs w:val="32"/>
          <w:lang w:eastAsia="zh-CN"/>
        </w:rPr>
        <w:t xml:space="preserve">     </w:t>
      </w:r>
      <w:r>
        <w:rPr>
          <w:rFonts w:hint="eastAsia" w:ascii="方正仿宋_GBK" w:hAnsi="方正仿宋_GBK" w:eastAsia="方正仿宋_GBK" w:cs="方正仿宋_GBK"/>
          <w:spacing w:val="-15"/>
          <w:sz w:val="32"/>
          <w:szCs w:val="32"/>
          <w:lang w:eastAsia="zh-CN"/>
        </w:rPr>
        <w:t>月</w:t>
      </w:r>
      <w:r>
        <w:rPr>
          <w:rFonts w:hint="eastAsia" w:ascii="方正仿宋_GBK" w:hAnsi="方正仿宋_GBK" w:eastAsia="方正仿宋_GBK" w:cs="方正仿宋_GBK"/>
          <w:spacing w:val="14"/>
          <w:sz w:val="32"/>
          <w:szCs w:val="32"/>
          <w:lang w:eastAsia="zh-CN"/>
        </w:rPr>
        <w:t xml:space="preserve">     </w:t>
      </w:r>
      <w:r>
        <w:rPr>
          <w:rFonts w:hint="eastAsia" w:ascii="方正仿宋_GBK" w:hAnsi="方正仿宋_GBK" w:eastAsia="方正仿宋_GBK" w:cs="方正仿宋_GBK"/>
          <w:spacing w:val="-15"/>
          <w:sz w:val="32"/>
          <w:szCs w:val="32"/>
          <w:lang w:eastAsia="zh-CN"/>
        </w:rPr>
        <w:t>日</w:t>
      </w:r>
    </w:p>
    <w:p>
      <w:pPr>
        <w:spacing w:line="600" w:lineRule="exact"/>
        <w:jc w:val="both"/>
        <w:rPr>
          <w:rFonts w:hint="eastAsia" w:ascii="方正黑体_GBK" w:hAnsi="方正黑体_GBK" w:eastAsia="方正黑体_GBK" w:cs="方正黑体_GBK"/>
          <w:snapToGrid w:val="0"/>
          <w:spacing w:val="0"/>
          <w:sz w:val="32"/>
          <w:szCs w:val="32"/>
          <w:lang w:val="en-US" w:eastAsia="zh-CN"/>
        </w:rPr>
      </w:pPr>
      <w:r>
        <w:rPr>
          <w:rFonts w:hint="eastAsia" w:ascii="方正黑体_GBK" w:hAnsi="方正黑体_GBK" w:eastAsia="方正黑体_GBK" w:cs="方正黑体_GBK"/>
          <w:snapToGrid w:val="0"/>
          <w:spacing w:val="0"/>
          <w:sz w:val="32"/>
          <w:szCs w:val="32"/>
          <w:lang w:eastAsia="zh-CN"/>
        </w:rPr>
        <w:t>附件</w:t>
      </w:r>
      <w:r>
        <w:rPr>
          <w:rFonts w:hint="eastAsia" w:ascii="方正黑体_GBK" w:hAnsi="方正黑体_GBK" w:eastAsia="方正黑体_GBK" w:cs="方正黑体_GBK"/>
          <w:snapToGrid w:val="0"/>
          <w:spacing w:val="0"/>
          <w:sz w:val="32"/>
          <w:szCs w:val="32"/>
          <w:lang w:val="en-US" w:eastAsia="zh-CN"/>
        </w:rPr>
        <w:t>3</w:t>
      </w:r>
    </w:p>
    <w:tbl>
      <w:tblPr>
        <w:tblStyle w:val="6"/>
        <w:tblW w:w="88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1"/>
        <w:gridCol w:w="2044"/>
        <w:gridCol w:w="4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41"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小标宋_GBK" w:hAnsi="方正小标宋_GBK" w:eastAsia="方正小标宋_GBK" w:cs="方正小标宋_GBK"/>
                <w:i w:val="0"/>
                <w:color w:val="000000"/>
                <w:kern w:val="0"/>
                <w:sz w:val="40"/>
                <w:szCs w:val="40"/>
                <w:u w:val="none"/>
                <w:lang w:val="en-US" w:eastAsia="zh-CN" w:bidi="ar"/>
              </w:rPr>
              <w:t>项目审查意见表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4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bCs/>
                <w:i w:val="0"/>
                <w:color w:val="000000"/>
                <w:kern w:val="0"/>
                <w:sz w:val="24"/>
                <w:szCs w:val="24"/>
                <w:u w:val="none"/>
                <w:lang w:val="en-US" w:eastAsia="zh-CN" w:bidi="ar"/>
              </w:rPr>
              <w:t>项目名称</w:t>
            </w:r>
          </w:p>
        </w:tc>
        <w:tc>
          <w:tcPr>
            <w:tcW w:w="63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8" w:hRule="atLeast"/>
          <w:jc w:val="center"/>
        </w:trPr>
        <w:tc>
          <w:tcPr>
            <w:tcW w:w="8841" w:type="dxa"/>
            <w:gridSpan w:val="3"/>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审查意见</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76" w:firstLineChars="2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76" w:firstLineChars="2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经认真审查，同意该项目建设，理由如下：</w:t>
            </w:r>
            <w:r>
              <w:rPr>
                <w:rFonts w:hint="eastAsia" w:ascii="方正仿宋_GBK" w:hAnsi="方正仿宋_GBK" w:eastAsia="方正仿宋_GBK" w:cs="方正仿宋_GBK"/>
                <w:spacing w:val="2"/>
                <w:sz w:val="24"/>
                <w:szCs w:val="24"/>
                <w:lang w:eastAsia="zh-CN"/>
              </w:rPr>
              <w:t>项目申报材料和信息真</w:t>
            </w:r>
            <w:r>
              <w:rPr>
                <w:rFonts w:hint="eastAsia" w:ascii="方正仿宋_GBK" w:hAnsi="方正仿宋_GBK" w:eastAsia="方正仿宋_GBK" w:cs="方正仿宋_GBK"/>
                <w:spacing w:val="1"/>
                <w:sz w:val="24"/>
                <w:szCs w:val="24"/>
                <w:lang w:eastAsia="zh-CN"/>
              </w:rPr>
              <w:t>实，</w:t>
            </w:r>
            <w:r>
              <w:rPr>
                <w:rFonts w:hint="eastAsia" w:ascii="方正仿宋_GBK" w:hAnsi="方正仿宋_GBK" w:eastAsia="方正仿宋_GBK" w:cs="方正仿宋_GBK"/>
                <w:i w:val="0"/>
                <w:color w:val="000000"/>
                <w:sz w:val="24"/>
                <w:szCs w:val="24"/>
                <w:u w:val="none"/>
                <w:lang w:eastAsia="zh-CN"/>
              </w:rPr>
              <w:t>符合有关生态环境导向（</w:t>
            </w:r>
            <w:r>
              <w:rPr>
                <w:rFonts w:hint="eastAsia" w:ascii="方正仿宋_GBK" w:hAnsi="方正仿宋_GBK" w:eastAsia="方正仿宋_GBK" w:cs="方正仿宋_GBK"/>
                <w:i w:val="0"/>
                <w:color w:val="000000"/>
                <w:sz w:val="24"/>
                <w:szCs w:val="24"/>
                <w:u w:val="none"/>
                <w:lang w:val="en-US" w:eastAsia="zh-CN"/>
              </w:rPr>
              <w:t>EOD</w:t>
            </w:r>
            <w:r>
              <w:rPr>
                <w:rFonts w:hint="eastAsia" w:ascii="方正仿宋_GBK" w:hAnsi="方正仿宋_GBK" w:eastAsia="方正仿宋_GBK" w:cs="方正仿宋_GBK"/>
                <w:i w:val="0"/>
                <w:color w:val="000000"/>
                <w:sz w:val="24"/>
                <w:szCs w:val="24"/>
                <w:u w:val="none"/>
                <w:lang w:eastAsia="zh-CN"/>
              </w:rPr>
              <w:t>）的开发模式的产业政策，没有也不会增加政府隐形债务等</w:t>
            </w:r>
            <w:r>
              <w:rPr>
                <w:rFonts w:hint="eastAsia" w:ascii="方正仿宋_GBK" w:hAnsi="方正仿宋_GBK" w:eastAsia="方正仿宋_GBK" w:cs="方正仿宋_GBK"/>
                <w:i w:val="0"/>
                <w:color w:val="000000"/>
                <w:sz w:val="24"/>
                <w:szCs w:val="24"/>
                <w:u w:val="none"/>
                <w:lang w:val="en-US" w:eastAsia="zh-CN"/>
              </w:rPr>
              <w:t>.......</w:t>
            </w:r>
            <w:r>
              <w:rPr>
                <w:rFonts w:hint="eastAsia" w:ascii="方正仿宋_GBK" w:hAnsi="方正仿宋_GBK" w:eastAsia="方正仿宋_GBK" w:cs="方正仿宋_GBK"/>
                <w:i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4525" w:type="dxa"/>
            <w:gridSpan w:val="2"/>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市（州）生态环境局（盖章）</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ind w:firstLine="1666" w:firstLineChars="7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ind w:firstLine="1666" w:firstLineChars="7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   月   日</w:t>
            </w:r>
          </w:p>
        </w:tc>
        <w:tc>
          <w:tcPr>
            <w:tcW w:w="431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市（州）发展和改革委员会（盖章）</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3" w:hRule="atLeast"/>
          <w:jc w:val="center"/>
        </w:trPr>
        <w:tc>
          <w:tcPr>
            <w:tcW w:w="452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市（州）财政局（盖章）</w:t>
            </w: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ind w:firstLine="1666" w:firstLineChars="7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ind w:firstLine="1666" w:firstLineChars="7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   月   日</w:t>
            </w:r>
          </w:p>
        </w:tc>
        <w:tc>
          <w:tcPr>
            <w:tcW w:w="431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lang w:eastAsia="zh-CN"/>
              </w:rPr>
            </w:pP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eastAsia="zh-CN"/>
              </w:rPr>
              <w:t>中国人民银行湖南省分行市（州）支行</w:t>
            </w:r>
            <w:r>
              <w:rPr>
                <w:rFonts w:hint="eastAsia" w:ascii="方正仿宋_GBK" w:hAnsi="方正仿宋_GBK" w:eastAsia="方正仿宋_GBK" w:cs="方正仿宋_GBK"/>
                <w:i w:val="0"/>
                <w:color w:val="000000"/>
                <w:kern w:val="0"/>
                <w:sz w:val="24"/>
                <w:szCs w:val="24"/>
                <w:u w:val="none"/>
                <w:lang w:val="en-US" w:eastAsia="zh-CN" w:bidi="ar"/>
              </w:rPr>
              <w:t>（盖章）</w:t>
            </w:r>
          </w:p>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ind w:firstLine="1428" w:firstLineChars="6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ind w:firstLine="1428" w:firstLineChars="60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年   月   日</w:t>
            </w:r>
          </w:p>
        </w:tc>
      </w:tr>
    </w:tbl>
    <w:p>
      <w:pPr>
        <w:spacing w:line="600" w:lineRule="exact"/>
        <w:ind w:firstLine="6042" w:firstLineChars="1900"/>
        <w:rPr>
          <w:rFonts w:ascii="Times New Roman" w:hAnsi="Times New Roman" w:cs="Times New Roman"/>
          <w:lang w:eastAsia="zh-CN"/>
        </w:rPr>
      </w:pPr>
    </w:p>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szCs w:val="32"/>
        </w:rPr>
      </w:pPr>
    </w:p>
    <w:tbl>
      <w:tblPr>
        <w:tblStyle w:val="7"/>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PrEx>
        <w:trPr>
          <w:trHeight w:val="595" w:hRule="atLeast"/>
          <w:jc w:val="center"/>
        </w:trPr>
        <w:tc>
          <w:tcPr>
            <w:tcW w:w="5512" w:type="dxa"/>
            <w:vAlign w:val="center"/>
          </w:tcPr>
          <w:p>
            <w:pPr>
              <w:snapToGrid w:val="0"/>
              <w:ind w:left="190" w:leftChars="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湖南省生态环境厅办公室</w:t>
            </w:r>
          </w:p>
        </w:tc>
        <w:tc>
          <w:tcPr>
            <w:tcW w:w="3333" w:type="dxa"/>
            <w:vAlign w:val="center"/>
          </w:tcPr>
          <w:p>
            <w:pPr>
              <w:snapToGrid w:val="0"/>
              <w:ind w:right="159" w:rightChars="5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
              </w:rPr>
              <w:t>2024年9月</w:t>
            </w: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lang w:val="en"/>
              </w:rPr>
              <w:t>日</w:t>
            </w:r>
            <w:r>
              <w:rPr>
                <w:rFonts w:hint="eastAsia" w:ascii="方正仿宋_GBK" w:hAnsi="方正仿宋_GBK" w:eastAsia="方正仿宋_GBK" w:cs="方正仿宋_GBK"/>
                <w:sz w:val="28"/>
                <w:szCs w:val="28"/>
              </w:rPr>
              <w:t>印发　</w:t>
            </w:r>
          </w:p>
        </w:tc>
      </w:tr>
    </w:tbl>
    <w:p>
      <w:pPr>
        <w:snapToGrid w:val="0"/>
        <w:spacing w:line="20" w:lineRule="exact"/>
        <w:rPr>
          <w:rFonts w:ascii="仿宋_GB2312" w:hAnsi="仿宋"/>
          <w:szCs w:val="32"/>
        </w:rPr>
      </w:pPr>
    </w:p>
    <w:sectPr>
      <w:headerReference r:id="rId7" w:type="default"/>
      <w:footerReference r:id="rId8" w:type="default"/>
      <w:footerReference r:id="rId9" w:type="even"/>
      <w:pgSz w:w="11906" w:h="16838"/>
      <w:pgMar w:top="1985" w:right="1474" w:bottom="1985" w:left="1531" w:header="851" w:footer="1247" w:gutter="0"/>
      <w:pgNumType w:fmt="numberInDash"/>
      <w:cols w:space="425" w:num="1"/>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01"/>
      <w:rPr>
        <w:spacing w:val="-7"/>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- 9 -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- 9 -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wordWrap w:val="0"/>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tabs>
        <w:tab w:val="clear" w:pos="4153"/>
        <w:tab w:val="clear" w:pos="8306"/>
      </w:tabs>
      <w:ind w:left="350"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59"/>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e287c585-c28d-496b-9ccc-8128504d6d6e"/>
  </w:docVars>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3446CD"/>
    <w:rsid w:val="00373200"/>
    <w:rsid w:val="003D2BCA"/>
    <w:rsid w:val="00403FB2"/>
    <w:rsid w:val="00484426"/>
    <w:rsid w:val="00492FDA"/>
    <w:rsid w:val="004D3876"/>
    <w:rsid w:val="004D5D3C"/>
    <w:rsid w:val="00501A0E"/>
    <w:rsid w:val="00571B2A"/>
    <w:rsid w:val="00657C25"/>
    <w:rsid w:val="007075FE"/>
    <w:rsid w:val="00730B1E"/>
    <w:rsid w:val="00734B0F"/>
    <w:rsid w:val="00761658"/>
    <w:rsid w:val="007B7940"/>
    <w:rsid w:val="007C2CFD"/>
    <w:rsid w:val="007D13D3"/>
    <w:rsid w:val="00836C62"/>
    <w:rsid w:val="008522D8"/>
    <w:rsid w:val="008B4592"/>
    <w:rsid w:val="008E3216"/>
    <w:rsid w:val="00900940"/>
    <w:rsid w:val="009703CE"/>
    <w:rsid w:val="009A7B6B"/>
    <w:rsid w:val="00A13100"/>
    <w:rsid w:val="00A73BC4"/>
    <w:rsid w:val="00A85E0A"/>
    <w:rsid w:val="00A93BCE"/>
    <w:rsid w:val="00AD7F40"/>
    <w:rsid w:val="00B1490E"/>
    <w:rsid w:val="00B926BF"/>
    <w:rsid w:val="00B948FB"/>
    <w:rsid w:val="00BA6C55"/>
    <w:rsid w:val="00BB42F4"/>
    <w:rsid w:val="00BB4E17"/>
    <w:rsid w:val="00C5168F"/>
    <w:rsid w:val="00C925DD"/>
    <w:rsid w:val="00CA567D"/>
    <w:rsid w:val="00CD25F6"/>
    <w:rsid w:val="00D47D1F"/>
    <w:rsid w:val="00D51D33"/>
    <w:rsid w:val="00D7681B"/>
    <w:rsid w:val="00D95457"/>
    <w:rsid w:val="00EC3822"/>
    <w:rsid w:val="00EE61B5"/>
    <w:rsid w:val="00F03766"/>
    <w:rsid w:val="00F0685D"/>
    <w:rsid w:val="00F42F7C"/>
    <w:rsid w:val="00F64505"/>
    <w:rsid w:val="00F730E5"/>
    <w:rsid w:val="1B56706D"/>
    <w:rsid w:val="277DC84A"/>
    <w:rsid w:val="305F1C5C"/>
    <w:rsid w:val="37F42FFA"/>
    <w:rsid w:val="4EF906BC"/>
    <w:rsid w:val="6D67F81C"/>
    <w:rsid w:val="759145DC"/>
    <w:rsid w:val="7656188C"/>
    <w:rsid w:val="77D87C3B"/>
    <w:rsid w:val="797E1AE4"/>
    <w:rsid w:val="7A6FA890"/>
    <w:rsid w:val="7BED6E76"/>
    <w:rsid w:val="7EEF38BF"/>
    <w:rsid w:val="7F4B8017"/>
    <w:rsid w:val="7FFF0EC0"/>
    <w:rsid w:val="ECFDE837"/>
    <w:rsid w:val="F77FD674"/>
    <w:rsid w:val="FCDD041B"/>
    <w:rsid w:val="FCE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paragraph" w:styleId="3">
    <w:name w:val="heading 1"/>
    <w:basedOn w:val="1"/>
    <w:next w:val="1"/>
    <w:qFormat/>
    <w:uiPriority w:val="9"/>
    <w:pPr>
      <w:keepNext/>
      <w:keepLines/>
      <w:spacing w:line="600" w:lineRule="exact"/>
      <w:outlineLvl w:val="0"/>
    </w:pPr>
    <w:rPr>
      <w:rFonts w:ascii="Times New Roman" w:hAnsi="Times New Roman" w:eastAsia="方正小标宋简体"/>
      <w:kern w:val="44"/>
      <w:sz w:val="4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4"/>
      <w:szCs w:val="44"/>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99"/>
    <w:rPr>
      <w:rFonts w:ascii="Times New Roman" w:hAnsi="Times New Roman" w:eastAsia="仿宋_GB2312" w:cs="Times New Roman"/>
      <w:sz w:val="18"/>
      <w:szCs w:val="20"/>
    </w:rPr>
  </w:style>
  <w:style w:type="character" w:customStyle="1" w:styleId="10">
    <w:name w:val="页眉 Char"/>
    <w:basedOn w:val="8"/>
    <w:link w:val="5"/>
    <w:qFormat/>
    <w:uiPriority w:val="0"/>
    <w:rPr>
      <w:rFonts w:ascii="Times New Roman" w:hAnsi="Times New Roman" w:eastAsia="仿宋_GB2312" w:cs="Times New Roman"/>
      <w:sz w:val="18"/>
      <w:szCs w:val="20"/>
    </w:rPr>
  </w:style>
  <w:style w:type="paragraph" w:styleId="11">
    <w:name w:val="List Paragraph"/>
    <w:basedOn w:val="1"/>
    <w:qFormat/>
    <w:uiPriority w:val="99"/>
    <w:pPr>
      <w:spacing w:line="500" w:lineRule="exact"/>
      <w:ind w:firstLine="420" w:firstLineChars="200"/>
    </w:pPr>
    <w:rPr>
      <w:rFonts w:ascii="Times New Roman" w:hAnsi="Times New Roman" w:eastAsia="仿宋" w:cs="Times New Roman"/>
      <w:color w:val="auto"/>
      <w:spacing w:val="2"/>
      <w:sz w:val="32"/>
      <w:szCs w:val="32"/>
      <w:lang w:eastAsia="zh-CN"/>
    </w:rPr>
  </w:style>
  <w:style w:type="paragraph" w:customStyle="1" w:styleId="12">
    <w:name w:val="Table Text"/>
    <w:basedOn w:val="1"/>
    <w:semiHidden/>
    <w:qFormat/>
    <w:uiPriority w:val="0"/>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4221</Words>
  <Characters>4356</Characters>
  <Lines>26</Lines>
  <Paragraphs>16</Paragraphs>
  <TotalTime>0</TotalTime>
  <ScaleCrop>false</ScaleCrop>
  <LinksUpToDate>false</LinksUpToDate>
  <CharactersWithSpaces>4449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2017-03-06T22:02:00Z</dcterms:created>
  <dc:creator>陈炼</dc:creator>
  <cp:lastModifiedBy>柳丁</cp:lastModifiedBy>
  <cp:lastPrinted>2017-03-10T11:07:00Z</cp:lastPrinted>
  <dcterms:modified xsi:type="dcterms:W3CDTF">2024-11-04T00:40:15Z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9AF08C3DFF074A948F53A52B3E5474A1</vt:lpwstr>
  </property>
</Properties>
</file>