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color w:val="FF0000"/>
          <w:spacing w:val="70"/>
          <w:w w:val="66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HNPR-2021-25002</w:t>
      </w:r>
    </w:p>
    <w:p>
      <w:pPr>
        <w:autoSpaceDE w:val="0"/>
        <w:spacing w:line="56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湖南省林业局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关于严格采石（砂）取土场使用林地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审批管理的通知</w:t>
      </w:r>
    </w:p>
    <w:p>
      <w:pPr>
        <w:autoSpaceDE w:val="0"/>
        <w:spacing w:line="560" w:lineRule="exact"/>
        <w:ind w:firstLine="320" w:firstLineChars="100"/>
        <w:jc w:val="center"/>
        <w:rPr>
          <w:rFonts w:eastAsia="方正仿宋_GBK"/>
          <w:color w:val="000000"/>
          <w:sz w:val="32"/>
          <w:szCs w:val="88"/>
        </w:rPr>
      </w:pPr>
    </w:p>
    <w:p>
      <w:pPr>
        <w:autoSpaceDE w:val="0"/>
        <w:spacing w:line="560" w:lineRule="exact"/>
        <w:ind w:firstLine="320" w:firstLineChars="100"/>
        <w:jc w:val="center"/>
        <w:rPr>
          <w:rFonts w:eastAsia="方正楷体_GBK"/>
          <w:color w:val="000000"/>
          <w:sz w:val="32"/>
          <w:szCs w:val="88"/>
        </w:rPr>
      </w:pPr>
      <w:r>
        <w:rPr>
          <w:rFonts w:eastAsia="方正仿宋_GBK"/>
          <w:color w:val="000000"/>
          <w:sz w:val="32"/>
          <w:szCs w:val="88"/>
        </w:rPr>
        <w:t>湘林资</w:t>
      </w:r>
      <w:r>
        <w:rPr>
          <w:rFonts w:eastAsia="方正仿宋_GBK"/>
          <w:sz w:val="32"/>
        </w:rPr>
        <w:t>〔2021〕14</w:t>
      </w:r>
      <w:r>
        <w:rPr>
          <w:rFonts w:eastAsia="方正仿宋_GBK"/>
          <w:color w:val="000000"/>
          <w:sz w:val="32"/>
          <w:szCs w:val="88"/>
        </w:rPr>
        <w:t>号</w:t>
      </w:r>
    </w:p>
    <w:p>
      <w:pPr>
        <w:spacing w:line="560" w:lineRule="exact"/>
        <w:rPr>
          <w:rFonts w:eastAsia="方正大标宋简体"/>
          <w:sz w:val="44"/>
          <w:szCs w:val="28"/>
        </w:rPr>
      </w:pPr>
    </w:p>
    <w:p>
      <w:pPr>
        <w:spacing w:line="60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各市州林业局，各县市区林业主管部门：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为进一步加强采石（砂）取土场使用林地的审批管理，保护自然生态环境，推进生态强省建设。根据《森林法》《森林法实施条例》《建设项目使用林地审核审批管理办法》（国家林业局令第35号）等有关规定，结合我省实际，现就严格采石（砂）取土场使用林地审批管理的有关事项通知如下：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一、严格把握采石（砂）取土场使用林地的条件和范围</w:t>
      </w:r>
    </w:p>
    <w:p>
      <w:pPr>
        <w:spacing w:line="600" w:lineRule="exact"/>
        <w:ind w:firstLine="640" w:firstLineChars="200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采石（砂）场、取土场使用林地应当严格按照生态保护优先，合理使用林地原则，优先选择宜林地、无立木林地、劣质林地，不得使用自然保护区、国家公园、森林公园、湿地公园、风景名胜区、世界自然遗产地、</w:t>
      </w:r>
      <w:r>
        <w:rPr>
          <w:rFonts w:eastAsia="方正仿宋_GBK"/>
          <w:bCs/>
          <w:kern w:val="0"/>
          <w:sz w:val="32"/>
          <w:szCs w:val="32"/>
        </w:rPr>
        <w:t>省级以上公益林地</w:t>
      </w:r>
      <w:r>
        <w:rPr>
          <w:rFonts w:eastAsia="方正仿宋_GBK"/>
          <w:kern w:val="0"/>
          <w:sz w:val="32"/>
          <w:szCs w:val="32"/>
        </w:rPr>
        <w:t>和生态保护红线范围内的林地，不得使用铁路、高速公路两侧以及大江大河大水库周围可视范围内的林地，不得使用位于易发生崩塌、滑坡和泥石流等生态地质灾害预警点的林地。其中，公路、铁路、通讯、电力、油气管道等线性工程和水利水电、航道工程等建设项目配套的采石（砂）场、取土场，其使用林地按照主体建设项目使用林地范围执行，但不得使用Ⅱ级以上（含Ⅱ级）保护林地中的有林地、不得使用一级国家级公益林地；对纳入全省普通建筑材料用砂石土矿专项规划的涉林采石（砂）取土项目，可以使用III级及其以下保护林地；其他采石（砂）场、取土场只能使用符合上述要求的Ⅳ级保护林地。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二、严格控制采石（砂）取土场的数量规模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对于工程建设需要采石（砂）、取土的，由工程建设业主按规定申请办理使用林地手续，其数量规模以满足工程建设需要为限；对于其他采石（砂）场、取土场，必须按照“生态优先、先急后缓”的原则，从严控制数量规模。县级林业主管部门要报请同级人民政府制定全县市区采石（砂）、取土规划以及年度实施计划，确定采石（砂）场、取土场的具体数量规模、合理布局，确保限额有序开采。县市区采石（砂）、取土规划以及年度实施计划需报省、市州林业主管部门备案。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三、严格审查采石（砂）取土场的申报材料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采石（砂）场、取土场除按</w:t>
      </w:r>
      <w:r>
        <w:rPr>
          <w:rFonts w:hint="eastAsia" w:eastAsia="方正仿宋_GBK"/>
          <w:kern w:val="0"/>
          <w:sz w:val="32"/>
          <w:szCs w:val="32"/>
        </w:rPr>
        <w:t>《建设项目使用林地审核审批管理办法》（国家林业局令第35号）</w:t>
      </w:r>
      <w:r>
        <w:rPr>
          <w:rFonts w:eastAsia="方正仿宋_GBK"/>
          <w:kern w:val="0"/>
          <w:sz w:val="32"/>
          <w:szCs w:val="32"/>
        </w:rPr>
        <w:t>和</w:t>
      </w:r>
      <w:r>
        <w:rPr>
          <w:rFonts w:hint="eastAsia" w:eastAsia="方正仿宋_GBK"/>
          <w:kern w:val="0"/>
          <w:sz w:val="32"/>
          <w:szCs w:val="32"/>
          <w:lang w:eastAsia="zh-CN"/>
        </w:rPr>
        <w:t>省相关</w:t>
      </w:r>
      <w:r>
        <w:rPr>
          <w:rFonts w:eastAsia="方正仿宋_GBK"/>
          <w:kern w:val="0"/>
          <w:sz w:val="32"/>
          <w:szCs w:val="32"/>
        </w:rPr>
        <w:t>文件规定提供材料外，还要提交原使用林地批件（仅适于旧场重新开发利用或旧场扩建）、用地单位（个人）制定的恢复林业生产条件方案。恢复林业生产条件方案包括年度复绿地点和面积、复绿措施和方式、复绿树种组成和数量等。县市区林业局要认真审查用地单位提交的申报材料，对材料齐全、符合条件的，按规定进行现场查验并出具现场查验表和使用林地审查意见。现场查验表和使用林地审查意见除常规内容外，还包括是否符合采石（砂）场、取土场使用林地的条件和范围，是否为旧场扩建、旧场重新开发利用，编制的恢复林业生产条件方案是否切实可行等内容。县市区负责现场查验和材料审查的人员，要对现场查验和材料审查结果负责，不得走过场，更不得弄虚作假。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四、严格落实采石（砂）取土场的林地恢复治理责任</w:t>
      </w:r>
    </w:p>
    <w:p>
      <w:pPr>
        <w:spacing w:line="600" w:lineRule="exact"/>
        <w:ind w:firstLine="640" w:firstLineChars="200"/>
        <w:rPr>
          <w:rFonts w:eastAsia="方正仿宋_GBK"/>
          <w:bCs/>
          <w:iCs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对于采石（砂）场、取土场，不管是办临时还是永久占林用地手续，用地单位（个人）都要认真制定采石（砂）场、取土场恢复林业生产条件方案。要严格按照谁开采、谁治理、谁恢复的原则，把落实恢复林业生产条件贯穿项目实施全过程。在选址时，要尽可能少占林地，尽量占用劣质林地；在使用后，要清除地面设施、表面硬化层，回填表土，一年内恢复林业生产条件并进行复绿。各级林业主管部门要加强对林地恢复（治理）情况的监管，确保开采一块，治理一块，恢复一块。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五、严格采石（砂）取土场的监督管理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自本通知下发之日起，县级林业主管部门要对本辖区所有采石（砂）场、取土场进行一次全面清查，依法处理，认真填写《采石（取土）场清理查处情况登记表》（见附件）。对于已经批准且位于本通知规定禁止范围内的采石（砂）场、取土场，应当依法退出；对于所有非法采石（砂）场、取土场，必须予以关停，并依法处置。各级林业主管部门要加强对采石（砂）场、取土场的监管，对不认真履行职责的，要严肃追究相关责任人的责任。</w:t>
      </w:r>
    </w:p>
    <w:p>
      <w:pPr>
        <w:spacing w:line="60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六、严厉打击采石（砂）取土场非法侵占林地行为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级林业主管部门要建立健全日常巡查机制，畅通信息沟通渠道，采取卫星遥感等技术手段，及时发现未经批准和超界采石（砂）取土等非法侵占林地行为以及不依法恢复林业生产条件的行为。对不进行生态修复和生态治理、不恢复林业生产条件的，必须中止其采石（砂）、取土行为，限期整改到位、治理到位、恢复到位；对发现的采石（砂）场、取土场非法侵占林地行为，要依法予以处罚，达到刑事立案标准的，要及时移送森林公安机关，形成工作合力，切实保护森林资源、自然生态环境和国土生态安全。对存在多起不恢复林业生产条件，或者地方政府主导违法占用林地情况严重的地区，实行区域限批。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本通知自公布之日起实施，有效期至2023年1月21日。此前我省采石（砂）取土场使用林地审批管理相关规定与本通知不一致的，以本通知为准。</w:t>
      </w:r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特此通知。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附件：（   ）县采石（取土）场清理查处情况登记表</w:t>
      </w:r>
    </w:p>
    <w:p>
      <w:pPr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湖南省林业局  </w:t>
      </w:r>
    </w:p>
    <w:p>
      <w:pPr>
        <w:spacing w:line="60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firstLine="5120" w:firstLineChars="1600"/>
        <w:rPr>
          <w:rFonts w:eastAsia="方正仿宋_GBK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rPr>
          <w:rFonts w:eastAsia="方正仿宋_GBK"/>
          <w:kern w:val="0"/>
          <w:sz w:val="32"/>
          <w:szCs w:val="32"/>
        </w:rPr>
      </w:pPr>
    </w:p>
    <w:p>
      <w:pPr>
        <w:ind w:firstLine="60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 xml:space="preserve">   </w:t>
      </w: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ind w:firstLine="880" w:firstLineChars="0"/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eastAsia="仿宋_GB2312"/>
        </w:rPr>
      </w:pPr>
    </w:p>
    <w:p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>
      <w:pPr>
        <w:widowControl/>
        <w:spacing w:line="560" w:lineRule="exact"/>
        <w:ind w:firstLine="280" w:firstLineChars="1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498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4pt;height:0pt;width:440.55pt;z-index:251659264;mso-width-relative:page;mso-height-relative:page;" filled="f" stroked="t" coordsize="21600,21600" o:gfxdata="UEsDBAoAAAAAAIdO4kAAAAAAAAAAAAAAAAAEAAAAZHJzL1BLAwQUAAAACACHTuJACqAhTdIAAAAE&#10;AQAADwAAAGRycy9kb3ducmV2LnhtbE2PS0/DMBCE70j9D9YicaNOegArjdNDUVUVcelD6nUbL3Fo&#10;vE5j98G/x+UCx9GMZr4pZzfXiQsNofWsIR9nIIhrb1puNOy2i2cFIkRkg51n0vBNAWbV6KHEwvgr&#10;r+myiY1IJRwK1GBj7AspQ23JYRj7njh5n35wGJMcGmkGvKZy18lJlr1Ihy2nBYs9zS3Vx83ZacC3&#10;5Tru1eT9tV3Zj6/t4rS06qT102OeTUFEusW/MNzxEzpUiengz2yC6DSkI1HDHT+ZSuU5iMOvllUp&#10;/8NXP1BLAwQUAAAACACHTuJAXRq/Mc8BAACOAwAADgAAAGRycy9lMm9Eb2MueG1srVNLjhMxEN0j&#10;cQfLe9JJIDDTSmcWE4YNgkgDB6j4023JP7k86eQsXIMVG44z16DsZDLAbEaILJyyq/z83qvq5dXe&#10;WbZTCU3wHZ9NppwpL4I0vu/41y83ry44wwxegg1edfygkF+tXr5YjrFV8zAEK1ViBOKxHWPHh5xj&#10;2zQoBuUAJyEqT0kdkoNM29Q3MsFI6M428+n0bTOGJGMKQiHS6fqY5KuKr7US+bPWqDKzHSduua6p&#10;rtuyNqsltH2COBhxogH/wMKB8fToGWoNGdhdMk+gnBEpYNB5IoJrgtZGqKqB1Mymf6m5HSCqqoXM&#10;wXi2Cf8frPi02yRmJPWOMw+OWnT/7fv9j5/sdfFmjNhSybXfpNMO4yYVoXudXPknCWxf/Tyc/VT7&#10;zAQdLhaXby4vFpyJh1zzeDEmzB9UcKwEHbfGF6nQwu4jZnqMSh9KyrH1bCSS83dTaqMAGhVtIVPo&#10;IpFH39fLGKyRN8bacgVTv722ie2gNL/+iiYC/qOsvLIGHI51NXUci0GBfO8ly4dItniaX144OCU5&#10;s4rGvUQECG0GY59TSU9bTwyKrUcjS7QN8kBNuIvJ9ANZMassS4aaXvmeBrRM1e/7ivT4Ga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qgIU3SAAAABAEAAA8AAAAAAAAAAQAgAAAAIgAAAGRycy9k&#10;b3ducmV2LnhtbFBLAQIUABQAAAAIAIdO4kBdGr8xzwEAAI4DAAAOAAAAAAAAAAEAIAAAACE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湖南省林业局办公室       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>2021年</w:t>
      </w:r>
      <w:r>
        <w:rPr>
          <w:rFonts w:hint="eastAsia" w:eastAsia="方正仿宋_GBK"/>
          <w:sz w:val="28"/>
          <w:szCs w:val="28"/>
          <w:lang w:val="en-US" w:eastAsia="zh-CN"/>
        </w:rPr>
        <w:t>10</w:t>
      </w:r>
      <w:r>
        <w:rPr>
          <w:rFonts w:eastAsia="方正仿宋_GBK"/>
          <w:sz w:val="28"/>
          <w:szCs w:val="28"/>
        </w:rPr>
        <w:t>月1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日印发</w:t>
      </w:r>
    </w:p>
    <w:p>
      <w:pPr>
        <w:rPr>
          <w:rFonts w:eastAsia="仿宋_GB2312"/>
        </w:rPr>
        <w:sectPr>
          <w:footerReference r:id="rId3" w:type="default"/>
          <w:pgSz w:w="11905" w:h="16837"/>
          <w:pgMar w:top="2098" w:right="1531" w:bottom="1440" w:left="1588" w:header="850" w:footer="992" w:gutter="0"/>
          <w:pgNumType w:fmt="numberInDash"/>
          <w:cols w:space="720" w:num="1"/>
          <w:formProt w:val="1"/>
          <w:docGrid w:type="lines" w:linePitch="324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67945</wp:posOffset>
                </wp:positionV>
                <wp:extent cx="559498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.55pt;margin-top:5.35pt;height:0pt;width:440.55pt;z-index:251660288;mso-width-relative:page;mso-height-relative:page;" filled="f" stroked="t" coordsize="21600,21600" o:gfxdata="UEsDBAoAAAAAAIdO4kAAAAAAAAAAAAAAAAAEAAAAZHJzL1BLAwQUAAAACACHTuJAIkeLWNMAAAAH&#10;AQAADwAAAGRycy9kb3ducmV2LnhtbE2OO0/DMBSFdyT+g3WR2KiTDMQKcToUVRWIpQ+J1Y0vcWh8&#10;ncbug3/PRQwwnofO+er51Q/ijFPsA2nIZxkIpDbYnjoNu+3yQYGIyZA1QyDU8IUR5s3tTW0qGy60&#10;xvMmdYJHKFZGg0tprKSMrUNv4iyMSJx9hMmbxHLqpJ3Mhcf9IIsse5Te9MQPzoy4cNgeNievwTyv&#10;1uldFa9l/+LePrfL48qpo9b3d3n2BCLhNf2V4Qef0aFhpn04kY1i0FDmXGQ7K0FwrJQqQOx/DdnU&#10;8j9/8w1QSwMEFAAAAAgAh07iQPZ8esbQAQAAjgMAAA4AAABkcnMvZTJvRG9jLnhtbK1TS44TMRDd&#10;I3EHy3vSSZjATCudWUwYNggiAQeo+NNtyT+5POnkLFyDFRuOM9eg7GQyMLNBiCycsqv8/N6r6uX1&#10;3lm2UwlN8B2fTaacKS+CNL7v+Ncvt68uOcMMXoINXnX8oJBfr16+WI6xVfMwBCtVYgTisR1jx4ec&#10;Y9s0KAblACchKk9JHZKDTNvUNzLBSOjONvPp9E0zhiRjCkIh0un6mOSriq+1EvmT1qgysx0nbrmu&#10;qa7bsjarJbR9gjgYcaIB/8DCgfH06BlqDRnYXTLPoJwRKWDQeSKCa4LWRqiqgdTMpk/UfB4gqqqF&#10;zMF4tgn/H6z4uNskZmTHX3PmwVGL7r99v//xk10Ub8aILZXc+E067TBuUhG618mVf5LA9tXPw9lP&#10;tc9M0OFicXVxdbngTDzkmseLMWF+r4JjJei4Nb5IhRZ2HzDTY1T6UFKOrWcjDdj87ZTaKIBGRVvI&#10;FLpI5NH39TIGa+StsbZcwdRvb2xiOyjNr7+iiYD/KCuvrAGHY11NHcdiUCDfecnyIZItnuaXFw5O&#10;Sc6sonEvEQFCm8HYv6mkp60nBsXWo5El2gZ5oCbcxWT6gayYVZYlQ02vfE8DWqbq931FevyM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keLWNMAAAAHAQAADwAAAAAAAAABACAAAAAiAAAAZHJz&#10;L2Rvd25yZXYueG1sUEsBAhQAFAAAAAgAh07iQPZ8esbQAQAAjgMAAA4AAAAAAAAAAQAgAAAAIg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type w:val="continuous"/>
      <w:pgSz w:w="11905" w:h="16837"/>
      <w:pgMar w:top="2098" w:right="1531" w:bottom="1440" w:left="1588" w:header="850" w:footer="992" w:gutter="0"/>
      <w:pgNumType w:fmt="numberInDash"/>
      <w:cols w:space="720" w:num="1"/>
      <w:formProt w:val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BE0C84"/>
    <w:rsid w:val="190A2E90"/>
    <w:rsid w:val="2FB06B2A"/>
    <w:rsid w:val="46D03265"/>
    <w:rsid w:val="49D94569"/>
    <w:rsid w:val="54331009"/>
    <w:rsid w:val="5DA87637"/>
    <w:rsid w:val="5E115926"/>
    <w:rsid w:val="764009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二级标题"/>
    <w:basedOn w:val="2"/>
    <w:next w:val="2"/>
    <w:uiPriority w:val="0"/>
    <w:pPr>
      <w:adjustRightInd w:val="0"/>
      <w:snapToGrid w:val="0"/>
      <w:ind w:firstLine="880"/>
      <w:outlineLvl w:val="1"/>
    </w:pPr>
    <w:rPr>
      <w:rFonts w:ascii="Times New Roman" w:hAnsi="Times New Roman" w:eastAsia="仿宋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周安澜</cp:lastModifiedBy>
  <dcterms:modified xsi:type="dcterms:W3CDTF">2021-10-27T04:02:48Z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