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2A" w:rsidRPr="00380389" w:rsidRDefault="00BB782A" w:rsidP="00BB782A">
      <w:pPr>
        <w:jc w:val="left"/>
        <w:rPr>
          <w:rFonts w:ascii="黑体" w:eastAsia="黑体" w:hAnsi="黑体"/>
          <w:szCs w:val="32"/>
        </w:rPr>
      </w:pPr>
      <w:r>
        <w:rPr>
          <w:rFonts w:ascii="黑体" w:eastAsia="黑体" w:hAnsi="黑体" w:hint="eastAsia"/>
          <w:szCs w:val="32"/>
        </w:rPr>
        <w:t>HNPR-2024-45001</w:t>
      </w:r>
    </w:p>
    <w:p w:rsidR="00BB782A" w:rsidRDefault="00BB782A">
      <w:pPr>
        <w:rPr>
          <w:rFonts w:hint="eastAsia"/>
        </w:rPr>
      </w:pPr>
    </w:p>
    <w:p w:rsidR="00BB782A" w:rsidRDefault="00BB782A" w:rsidP="00BB782A">
      <w:pPr>
        <w:jc w:val="center"/>
        <w:rPr>
          <w:rFonts w:hint="eastAsia"/>
        </w:rPr>
      </w:pPr>
      <w:proofErr w:type="gramStart"/>
      <w:r>
        <w:rPr>
          <w:rFonts w:ascii="仿宋_GB2312" w:cs="仿宋_GB2312" w:hint="eastAsia"/>
        </w:rPr>
        <w:t>湘烟法</w:t>
      </w:r>
      <w:proofErr w:type="gramEnd"/>
      <w:r>
        <w:rPr>
          <w:rFonts w:ascii="仿宋_GB2312" w:cs="仿宋_GB2312" w:hint="eastAsia"/>
        </w:rPr>
        <w:t>〔2023〕189</w:t>
      </w:r>
      <w:r>
        <w:rPr>
          <w:rFonts w:ascii="仿宋_GB2312" w:cs="仿宋_GB2312" w:hint="eastAsia"/>
        </w:rPr>
        <w:t>号</w:t>
      </w:r>
    </w:p>
    <w:p w:rsidR="00BB782A" w:rsidRDefault="00BB782A">
      <w:pPr>
        <w:rPr>
          <w:rFonts w:hint="eastAsia"/>
        </w:rPr>
      </w:pPr>
    </w:p>
    <w:p w:rsidR="00BB782A" w:rsidRDefault="00BB782A">
      <w:pPr>
        <w:rPr>
          <w:rFonts w:hint="eastAsia"/>
        </w:rPr>
      </w:pPr>
    </w:p>
    <w:p w:rsidR="00BB782A" w:rsidRDefault="00BB782A">
      <w:pPr>
        <w:rPr>
          <w:rFonts w:hint="eastAsia"/>
        </w:rPr>
      </w:pPr>
    </w:p>
    <w:p w:rsidR="00BB782A" w:rsidRDefault="00BB782A" w:rsidP="00BB782A">
      <w:pPr>
        <w:pStyle w:val="a3"/>
        <w:snapToGrid w:val="0"/>
        <w:spacing w:line="700" w:lineRule="exact"/>
        <w:jc w:val="center"/>
        <w:rPr>
          <w:rFonts w:ascii="方正小标宋简体" w:eastAsia="方正小标宋简体"/>
          <w:sz w:val="44"/>
          <w:szCs w:val="44"/>
        </w:rPr>
      </w:pPr>
      <w:bookmarkStart w:id="0" w:name="issueName"/>
      <w:r>
        <w:rPr>
          <w:rFonts w:ascii="方正小标宋简体" w:eastAsia="方正小标宋简体" w:hint="eastAsia"/>
          <w:sz w:val="44"/>
          <w:szCs w:val="44"/>
        </w:rPr>
        <w:t>湖南省烟草专卖局关于印发湖南省烟草专卖行政处罚裁量基准适用规则</w:t>
      </w:r>
      <w:r>
        <w:rPr>
          <w:rFonts w:ascii="方正小标宋简体" w:eastAsia="方正小标宋简体"/>
          <w:sz w:val="44"/>
          <w:szCs w:val="44"/>
        </w:rPr>
        <w:t>等三个文件</w:t>
      </w:r>
      <w:r>
        <w:rPr>
          <w:rFonts w:ascii="方正小标宋简体" w:eastAsia="方正小标宋简体" w:hint="eastAsia"/>
          <w:sz w:val="44"/>
          <w:szCs w:val="44"/>
        </w:rPr>
        <w:t>的通知</w:t>
      </w:r>
      <w:bookmarkEnd w:id="0"/>
    </w:p>
    <w:p w:rsidR="00BB782A" w:rsidRDefault="00BB782A" w:rsidP="00BB782A">
      <w:pPr>
        <w:pStyle w:val="a3"/>
        <w:snapToGrid w:val="0"/>
        <w:spacing w:line="560" w:lineRule="exact"/>
        <w:rPr>
          <w:rFonts w:ascii="宋体" w:eastAsia="宋体" w:cs="宋体"/>
          <w:sz w:val="24"/>
        </w:rPr>
      </w:pPr>
    </w:p>
    <w:p w:rsidR="00BB782A" w:rsidRDefault="00BB782A" w:rsidP="00BB782A">
      <w:pPr>
        <w:pStyle w:val="a3"/>
        <w:snapToGrid w:val="0"/>
        <w:spacing w:line="560" w:lineRule="exact"/>
        <w:rPr>
          <w:rFonts w:ascii="仿宋_GB2312" w:cs="宋体"/>
          <w:szCs w:val="32"/>
        </w:rPr>
      </w:pPr>
      <w:r>
        <w:rPr>
          <w:rFonts w:ascii="仿宋_GB2312" w:cs="宋体" w:hint="eastAsia"/>
          <w:szCs w:val="32"/>
        </w:rPr>
        <w:t>各市州烟草专卖局：</w:t>
      </w:r>
    </w:p>
    <w:p w:rsidR="00BB782A" w:rsidRDefault="00BB782A" w:rsidP="00BB782A">
      <w:pPr>
        <w:pStyle w:val="a3"/>
        <w:spacing w:line="560" w:lineRule="exact"/>
        <w:ind w:firstLineChars="200" w:firstLine="640"/>
        <w:rPr>
          <w:rFonts w:ascii="仿宋_GB2312" w:cs="宋体"/>
          <w:szCs w:val="32"/>
        </w:rPr>
      </w:pPr>
      <w:r>
        <w:rPr>
          <w:rFonts w:ascii="仿宋_GB2312" w:cs="宋体" w:hint="eastAsia"/>
          <w:szCs w:val="32"/>
        </w:rPr>
        <w:t>现将新修订的《湖南省烟草专卖行政处罚裁量基准适用规则》《湖南省烟草专卖行政处罚裁量基准》《湖南省烟草专卖行政处罚“首违不罚”“轻微不罚”事项清单》印发给你们，自印发之日起实施，有效期五年，</w:t>
      </w:r>
      <w:proofErr w:type="gramStart"/>
      <w:r>
        <w:rPr>
          <w:rFonts w:ascii="仿宋_GB2312" w:cs="宋体" w:hint="eastAsia"/>
          <w:szCs w:val="32"/>
        </w:rPr>
        <w:t>湘烟法</w:t>
      </w:r>
      <w:proofErr w:type="gramEnd"/>
      <w:r>
        <w:rPr>
          <w:rFonts w:ascii="仿宋_GB2312" w:cs="宋体" w:hint="eastAsia"/>
          <w:szCs w:val="32"/>
        </w:rPr>
        <w:t>〔2022〕196号文件同时废止，请各单位遵照执行。</w:t>
      </w:r>
    </w:p>
    <w:p w:rsidR="00BB782A" w:rsidRDefault="00BB782A" w:rsidP="00BB782A">
      <w:pPr>
        <w:pStyle w:val="a3"/>
        <w:spacing w:line="560" w:lineRule="exact"/>
        <w:rPr>
          <w:rFonts w:ascii="仿宋_GB2312" w:cs="宋体"/>
          <w:szCs w:val="32"/>
        </w:rPr>
      </w:pPr>
    </w:p>
    <w:p w:rsidR="00BB782A" w:rsidRDefault="00BB782A" w:rsidP="00BB782A">
      <w:pPr>
        <w:pStyle w:val="a3"/>
        <w:spacing w:line="560" w:lineRule="exact"/>
        <w:rPr>
          <w:rFonts w:ascii="仿宋_GB2312" w:cs="宋体"/>
          <w:szCs w:val="32"/>
        </w:rPr>
      </w:pPr>
    </w:p>
    <w:p w:rsidR="00BB782A" w:rsidRDefault="00BB782A" w:rsidP="00BB782A">
      <w:pPr>
        <w:pStyle w:val="a3"/>
        <w:spacing w:line="560" w:lineRule="exact"/>
        <w:ind w:firstLineChars="1600" w:firstLine="5120"/>
        <w:rPr>
          <w:rFonts w:ascii="仿宋_GB2312" w:cs="宋体"/>
          <w:szCs w:val="32"/>
        </w:rPr>
      </w:pPr>
      <w:r>
        <w:rPr>
          <w:rFonts w:ascii="仿宋_GB2312" w:cs="宋体" w:hint="eastAsia"/>
          <w:szCs w:val="32"/>
        </w:rPr>
        <w:t>湖南省烟草专卖局</w:t>
      </w:r>
    </w:p>
    <w:p w:rsidR="00BB782A" w:rsidRDefault="00BB782A" w:rsidP="00BB782A">
      <w:pPr>
        <w:pStyle w:val="a3"/>
        <w:spacing w:line="560" w:lineRule="exact"/>
        <w:ind w:firstLineChars="1600" w:firstLine="5120"/>
        <w:rPr>
          <w:rFonts w:ascii="仿宋_GB2312" w:cs="宋体" w:hint="eastAsia"/>
          <w:szCs w:val="32"/>
        </w:rPr>
      </w:pPr>
      <w:r>
        <w:rPr>
          <w:rFonts w:ascii="仿宋_GB2312" w:cs="宋体" w:hint="eastAsia"/>
          <w:szCs w:val="32"/>
        </w:rPr>
        <w:t>2023年12月2</w:t>
      </w:r>
      <w:r>
        <w:rPr>
          <w:rFonts w:ascii="仿宋_GB2312" w:cs="宋体"/>
          <w:szCs w:val="32"/>
        </w:rPr>
        <w:t>8</w:t>
      </w:r>
      <w:r>
        <w:rPr>
          <w:rFonts w:ascii="仿宋_GB2312" w:cs="宋体" w:hint="eastAsia"/>
          <w:szCs w:val="32"/>
        </w:rPr>
        <w:t>日</w:t>
      </w:r>
    </w:p>
    <w:p w:rsidR="00BB782A" w:rsidRDefault="00BB782A" w:rsidP="00BB782A">
      <w:pPr>
        <w:pStyle w:val="a3"/>
        <w:spacing w:line="560" w:lineRule="exact"/>
        <w:ind w:firstLineChars="1600" w:firstLine="5120"/>
        <w:rPr>
          <w:rFonts w:ascii="仿宋_GB2312" w:cs="宋体" w:hint="eastAsia"/>
          <w:szCs w:val="32"/>
        </w:rPr>
      </w:pPr>
    </w:p>
    <w:p w:rsidR="00BB782A" w:rsidRDefault="00BB782A" w:rsidP="00BB782A">
      <w:pPr>
        <w:pStyle w:val="a3"/>
        <w:spacing w:line="560" w:lineRule="exact"/>
        <w:ind w:firstLineChars="1600" w:firstLine="5120"/>
        <w:rPr>
          <w:rFonts w:ascii="仿宋_GB2312" w:cs="宋体" w:hint="eastAsia"/>
          <w:szCs w:val="32"/>
        </w:rPr>
      </w:pPr>
    </w:p>
    <w:p w:rsidR="00BB782A" w:rsidRDefault="00BB782A" w:rsidP="00BB782A">
      <w:pPr>
        <w:pStyle w:val="a3"/>
        <w:spacing w:line="560" w:lineRule="exact"/>
        <w:ind w:firstLineChars="1600" w:firstLine="5120"/>
        <w:rPr>
          <w:rFonts w:ascii="仿宋_GB2312" w:cs="宋体"/>
          <w:szCs w:val="32"/>
        </w:rPr>
      </w:pPr>
    </w:p>
    <w:p w:rsidR="00BB782A" w:rsidRPr="00BB782A" w:rsidRDefault="00BB782A" w:rsidP="00BB782A">
      <w:pPr>
        <w:pStyle w:val="a3"/>
        <w:widowControl/>
        <w:spacing w:line="700" w:lineRule="exact"/>
        <w:jc w:val="center"/>
        <w:rPr>
          <w:rFonts w:ascii="方正小标宋简体" w:eastAsia="方正小标宋简体" w:cs="方正小标宋简体"/>
          <w:bCs/>
          <w:kern w:val="0"/>
          <w:sz w:val="40"/>
          <w:szCs w:val="44"/>
        </w:rPr>
      </w:pPr>
      <w:r w:rsidRPr="00BB782A">
        <w:rPr>
          <w:rFonts w:ascii="方正小标宋简体" w:eastAsia="方正小标宋简体" w:cs="方正小标宋简体" w:hint="eastAsia"/>
          <w:bCs/>
          <w:kern w:val="0"/>
          <w:sz w:val="40"/>
          <w:szCs w:val="44"/>
        </w:rPr>
        <w:lastRenderedPageBreak/>
        <w:t>湖南省烟草专卖行政处罚裁量基准适用规则</w:t>
      </w:r>
    </w:p>
    <w:p w:rsidR="00BB782A" w:rsidRDefault="00BB782A" w:rsidP="00BB782A">
      <w:pPr>
        <w:pStyle w:val="a3"/>
        <w:widowControl/>
        <w:spacing w:line="560" w:lineRule="exact"/>
        <w:rPr>
          <w:rFonts w:ascii="仿宋_GB2312" w:cs="宋体"/>
          <w:kern w:val="0"/>
          <w:sz w:val="28"/>
          <w:szCs w:val="28"/>
        </w:rPr>
      </w:pP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第一条</w:t>
      </w:r>
      <w:r>
        <w:rPr>
          <w:rFonts w:ascii="仿宋_GB2312" w:cs="宋体" w:hint="eastAsia"/>
          <w:kern w:val="0"/>
          <w:szCs w:val="32"/>
        </w:rPr>
        <w:t xml:space="preserve">  为规范全省各级烟草专卖局行政处罚行为，保证行政处罚裁量权的正确行使，促进行政处罚行为公平、公正，提高行政执法水平，保护公民、法人或者其他组织的合法权益，根据《中华人民共和国行政处罚法》《中华人民共和国未成年人保护法》《中华人民共和国烟草专卖法》《中华人民共和国烟草专卖法实施条例》《烟草专卖许可证管理办法》《湖南省规范行政裁量权办法》等法律、法规、规章规定，结合实际，制定本规则。</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第二条</w:t>
      </w:r>
      <w:r>
        <w:rPr>
          <w:rFonts w:ascii="仿宋_GB2312" w:cs="宋体" w:hint="eastAsia"/>
          <w:kern w:val="0"/>
          <w:szCs w:val="32"/>
        </w:rPr>
        <w:t xml:space="preserve">  全省各级烟草专卖局在行使行政处罚裁量权时，适用本规则。</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第三条</w:t>
      </w:r>
      <w:r>
        <w:rPr>
          <w:rFonts w:ascii="仿宋_GB2312" w:cs="宋体" w:hint="eastAsia"/>
          <w:kern w:val="0"/>
          <w:szCs w:val="32"/>
        </w:rPr>
        <w:t xml:space="preserve">  本规则所称行政处罚裁量权，是指烟草专卖局在实施行政处罚时，在法律、法规、规章规定的范围内，对实施行政处罚的种类、幅度等进行裁断、选择和适用的权力。</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第四条</w:t>
      </w:r>
      <w:r>
        <w:rPr>
          <w:rFonts w:ascii="仿宋_GB2312" w:cs="宋体" w:hint="eastAsia"/>
          <w:kern w:val="0"/>
          <w:szCs w:val="32"/>
        </w:rPr>
        <w:t xml:space="preserve">  行使行政处罚裁量权应坚持处罚法定、公正公开、过罚相当、处罚与教育相结合、保障当事人合法权利等原则。</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第五条</w:t>
      </w:r>
      <w:r>
        <w:rPr>
          <w:rFonts w:ascii="仿宋_GB2312" w:cs="宋体" w:hint="eastAsia"/>
          <w:kern w:val="0"/>
          <w:szCs w:val="32"/>
        </w:rPr>
        <w:t xml:space="preserve">  全省各级烟草专卖局应当根据违法行为的情节、性质、事实、社会危害程度行使行政处罚裁量权，对于情节、性质、事实和社会危害程度等因素相同或相似的违法行为，所适用的处罚种类和幅度标准应当基本相同。</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第六条</w:t>
      </w:r>
      <w:r>
        <w:rPr>
          <w:rFonts w:ascii="仿宋_GB2312" w:cs="宋体" w:hint="eastAsia"/>
          <w:kern w:val="0"/>
          <w:szCs w:val="32"/>
        </w:rPr>
        <w:t xml:space="preserve">  法律、法规、规章规定的处罚种类可以单处或者可以并处的，可以选择适用；规定应当并处的，不得选择</w:t>
      </w:r>
      <w:r>
        <w:rPr>
          <w:rFonts w:ascii="仿宋_GB2312" w:cs="宋体" w:hint="eastAsia"/>
          <w:kern w:val="0"/>
          <w:szCs w:val="32"/>
        </w:rPr>
        <w:lastRenderedPageBreak/>
        <w:t>适用。</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第七条</w:t>
      </w:r>
      <w:r>
        <w:rPr>
          <w:rFonts w:ascii="仿宋_GB2312" w:cs="宋体" w:hint="eastAsia"/>
          <w:kern w:val="0"/>
          <w:szCs w:val="32"/>
        </w:rPr>
        <w:t xml:space="preserve">  法律、法规、规章规定有罚款幅度、罚款倍数、罚款比例的，应当根据违法行为的事实、性质、情节、社会危害程度，分别划分等级，并根据不同等级进行判断选择处罚的种类和幅度，实施不同基准的行政处罚。</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湖南省烟草专卖行政处罚裁量基准主要划分为从轻处罚、一般处罚、从重处罚三个等级基准。</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第八条</w:t>
      </w:r>
      <w:r>
        <w:rPr>
          <w:rFonts w:ascii="仿宋_GB2312" w:cs="宋体" w:hint="eastAsia"/>
          <w:kern w:val="0"/>
          <w:szCs w:val="32"/>
        </w:rPr>
        <w:t xml:space="preserve">  法律、法规、规章规定的警告、没收违法所得、没收非法财物、吊销许可证件、责令停产停业、责令关闭等具有羁束性的行政处罚种类，依照执行，不划分等级基准。</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第九条</w:t>
      </w:r>
      <w:r>
        <w:rPr>
          <w:rFonts w:ascii="仿宋_GB2312" w:cs="宋体" w:hint="eastAsia"/>
          <w:kern w:val="0"/>
          <w:szCs w:val="32"/>
        </w:rPr>
        <w:t xml:space="preserve">  同一行为违反了不同法律规范的，在适用法律、法规、规章时应当优先适用效力高的法律规范实施处罚，不得重复处罚。</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第十条</w:t>
      </w:r>
      <w:r>
        <w:rPr>
          <w:rFonts w:ascii="仿宋_GB2312" w:cs="宋体" w:hint="eastAsia"/>
          <w:kern w:val="0"/>
          <w:szCs w:val="32"/>
        </w:rPr>
        <w:t xml:space="preserve">  实施行政处罚时，应当责令当事人改正或者限期改正违法行为。</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对当事人的违法行为依法不予行政处罚的，应当对当事人进行教育。</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违法行为涉嫌犯罪的，应当及时将案件移送司法机关依法追究刑事责任，不得以行政处罚代替刑事处罚。</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第十一条</w:t>
      </w:r>
      <w:r>
        <w:rPr>
          <w:rFonts w:ascii="仿宋_GB2312" w:cs="宋体" w:hint="eastAsia"/>
          <w:kern w:val="0"/>
          <w:szCs w:val="32"/>
        </w:rPr>
        <w:t xml:space="preserve">  当事人有下列情形之一的，不予行政处罚：</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（一）不满十四周岁的未成年人有违法行为的；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（二）精神病人、智力残疾人在不能辨认或者不能控制自己行为时有违法行为的；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（三）违法行为情节轻微并及时纠正、没有造成危害后</w:t>
      </w:r>
      <w:r>
        <w:rPr>
          <w:rFonts w:ascii="仿宋_GB2312" w:cs="宋体" w:hint="eastAsia"/>
          <w:kern w:val="0"/>
          <w:szCs w:val="32"/>
        </w:rPr>
        <w:lastRenderedPageBreak/>
        <w:t>果的；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（四）除法律、行政法规另有规定外，当事人有证据足以证明没有主观过错的（需要当事人主动提供“没有主观过错”的证据，且达到“足以证明”程度）；</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（五）除法律另有规定外，违法行为在两年内未被发现的，涉及公民生命健康安全、金融安全且有危害后果的违法行为在五年内未被发现的；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（六）违法事实不清、证据不足的；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（七）法律、法规、规章规定其他不予行政处罚的情形。</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 xml:space="preserve">第十二条 </w:t>
      </w:r>
      <w:r>
        <w:rPr>
          <w:rFonts w:ascii="仿宋_GB2312" w:cs="宋体" w:hint="eastAsia"/>
          <w:kern w:val="0"/>
          <w:szCs w:val="32"/>
        </w:rPr>
        <w:t xml:space="preserve"> 当事人初次违法且危害后果轻微并及时改正的，可以不予行政处罚。</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第十三条</w:t>
      </w:r>
      <w:r>
        <w:rPr>
          <w:rFonts w:ascii="仿宋_GB2312" w:cs="宋体" w:hint="eastAsia"/>
          <w:kern w:val="0"/>
          <w:szCs w:val="32"/>
        </w:rPr>
        <w:t xml:space="preserve">  当事人有下列情形之一的，应当从轻或者减轻行政处罚：</w:t>
      </w:r>
    </w:p>
    <w:p w:rsidR="00BB782A" w:rsidRDefault="00BB782A" w:rsidP="00BB782A">
      <w:pPr>
        <w:pStyle w:val="a3"/>
        <w:spacing w:line="560" w:lineRule="exact"/>
        <w:ind w:firstLineChars="200" w:firstLine="616"/>
        <w:rPr>
          <w:rFonts w:ascii="仿宋_GB2312" w:cs="宋体"/>
          <w:spacing w:val="-6"/>
          <w:kern w:val="0"/>
          <w:szCs w:val="32"/>
        </w:rPr>
      </w:pPr>
      <w:r>
        <w:rPr>
          <w:rFonts w:ascii="仿宋_GB2312" w:cs="宋体" w:hint="eastAsia"/>
          <w:spacing w:val="-6"/>
          <w:kern w:val="0"/>
          <w:szCs w:val="32"/>
        </w:rPr>
        <w:t>（一）已满十四周岁不满十八周岁的未成年人有违法行为的；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（二）主动消除或者减轻违法行为危害后果的；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（三）受他人胁迫或者诱骗实施违法行为的；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（四）主动供述行政机关尚未掌握的违法行为的；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（五）配合行政机关查处违法行为有立功表现的；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（六）法律、法规、规章规定其他应当从轻或者减轻行政处罚的。</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第十四条</w:t>
      </w:r>
      <w:r>
        <w:rPr>
          <w:rFonts w:ascii="仿宋_GB2312" w:cs="宋体" w:hint="eastAsia"/>
          <w:kern w:val="0"/>
          <w:szCs w:val="32"/>
        </w:rPr>
        <w:t xml:space="preserve">  尚未完全丧失辨认或者控制自己行为能力的精神病人、智力残疾人有违法行为的，可以从轻或者减轻行政处罚。</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lastRenderedPageBreak/>
        <w:t>第十五条</w:t>
      </w:r>
      <w:r>
        <w:rPr>
          <w:rFonts w:ascii="仿宋_GB2312" w:cs="宋体" w:hint="eastAsia"/>
          <w:kern w:val="0"/>
          <w:szCs w:val="32"/>
        </w:rPr>
        <w:t xml:space="preserve">  当事人有下列情形之一的，可以从重处罚：</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（一）违法行为情节恶劣，危害后果较重的；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（二）</w:t>
      </w:r>
      <w:r>
        <w:t>违法行为被发现后不听劝阻、继续实施违法行为的</w:t>
      </w:r>
      <w:r>
        <w:rPr>
          <w:rFonts w:ascii="仿宋_GB2312" w:cs="宋体" w:hint="eastAsia"/>
          <w:kern w:val="0"/>
          <w:szCs w:val="32"/>
        </w:rPr>
        <w:t>；</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（三）在共同实施违法行为中起主要作用的；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（四）因违法生产经营烟草专卖品受过两次以上行政处罚，或一年内受过一次行政处罚，又实施违法行为的；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（五）采取的行为妨碍执法人员查处违法案件的；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（六）伪造、隐匿、销毁违法证据的；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（七）因非法生产经营烟草专卖品被追究刑事责任，又实施违法行为的；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（八）法律、法规、规章规定其他可以从重处罚的情形。</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第十六条</w:t>
      </w:r>
      <w:r>
        <w:rPr>
          <w:rFonts w:ascii="仿宋_GB2312" w:cs="宋体" w:hint="eastAsia"/>
          <w:kern w:val="0"/>
          <w:szCs w:val="32"/>
        </w:rPr>
        <w:t xml:space="preserve">  当事人有下列情形之一的，可以在法定量罚幅度内适用最高限的处罚基准：</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（一）发生自然灾害、公共卫生等突发事件时实施违法行为，妨害社会管理，情节严重的；</w:t>
      </w:r>
    </w:p>
    <w:p w:rsidR="00BB782A" w:rsidRDefault="00BB782A" w:rsidP="00BB782A">
      <w:pPr>
        <w:pStyle w:val="a3"/>
        <w:spacing w:line="560" w:lineRule="exact"/>
        <w:ind w:firstLineChars="200" w:firstLine="616"/>
        <w:rPr>
          <w:rFonts w:ascii="仿宋_GB2312" w:cs="宋体"/>
          <w:spacing w:val="-6"/>
          <w:kern w:val="0"/>
          <w:szCs w:val="32"/>
        </w:rPr>
      </w:pPr>
      <w:r>
        <w:rPr>
          <w:rFonts w:ascii="仿宋_GB2312" w:cs="宋体" w:hint="eastAsia"/>
          <w:spacing w:val="-6"/>
          <w:kern w:val="0"/>
          <w:szCs w:val="32"/>
        </w:rPr>
        <w:t>（二）扰乱社会管理秩序、市场经济秩序造成严重危害后果的；</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（三）胁迫、诱骗他人实施违法行为情节严重的；</w:t>
      </w:r>
    </w:p>
    <w:p w:rsidR="00BB782A" w:rsidRDefault="00BB782A" w:rsidP="00BB782A">
      <w:pPr>
        <w:pStyle w:val="a3"/>
        <w:spacing w:line="560" w:lineRule="exact"/>
        <w:ind w:firstLineChars="200" w:firstLine="616"/>
        <w:rPr>
          <w:rFonts w:ascii="仿宋_GB2312" w:cs="宋体"/>
          <w:spacing w:val="-6"/>
          <w:kern w:val="0"/>
          <w:szCs w:val="32"/>
        </w:rPr>
      </w:pPr>
      <w:r>
        <w:rPr>
          <w:rFonts w:ascii="仿宋_GB2312" w:cs="宋体" w:hint="eastAsia"/>
          <w:spacing w:val="-6"/>
          <w:kern w:val="0"/>
          <w:szCs w:val="32"/>
        </w:rPr>
        <w:t>（四）打击报复报案人、举报人、证人、鉴定人、执法人员的。</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第十七条</w:t>
      </w:r>
      <w:r>
        <w:rPr>
          <w:rFonts w:ascii="仿宋_GB2312" w:cs="宋体" w:hint="eastAsia"/>
          <w:kern w:val="0"/>
          <w:szCs w:val="32"/>
        </w:rPr>
        <w:t xml:space="preserve">  全省各级烟草专卖局应根据《湖南省烟草专卖行政处罚裁量基准》和当事人有无从重、从轻、减轻处罚的情形，进行处罚，并在案卷中说明理由。对当事人</w:t>
      </w:r>
      <w:proofErr w:type="gramStart"/>
      <w:r>
        <w:rPr>
          <w:rFonts w:ascii="仿宋_GB2312" w:cs="宋体" w:hint="eastAsia"/>
          <w:kern w:val="0"/>
          <w:szCs w:val="32"/>
        </w:rPr>
        <w:t>作出</w:t>
      </w:r>
      <w:proofErr w:type="gramEnd"/>
      <w:r>
        <w:rPr>
          <w:rFonts w:ascii="仿宋_GB2312" w:cs="宋体" w:hint="eastAsia"/>
          <w:kern w:val="0"/>
          <w:szCs w:val="32"/>
        </w:rPr>
        <w:t>行</w:t>
      </w:r>
      <w:r>
        <w:rPr>
          <w:rFonts w:ascii="仿宋_GB2312" w:cs="宋体" w:hint="eastAsia"/>
          <w:kern w:val="0"/>
          <w:szCs w:val="32"/>
        </w:rPr>
        <w:lastRenderedPageBreak/>
        <w:t>政处罚事先告知时，</w:t>
      </w:r>
      <w:proofErr w:type="gramStart"/>
      <w:r>
        <w:rPr>
          <w:rFonts w:ascii="仿宋_GB2312" w:cs="宋体" w:hint="eastAsia"/>
          <w:kern w:val="0"/>
          <w:szCs w:val="32"/>
        </w:rPr>
        <w:t>应当将裁量</w:t>
      </w:r>
      <w:proofErr w:type="gramEnd"/>
      <w:r>
        <w:rPr>
          <w:rFonts w:ascii="仿宋_GB2312" w:cs="宋体" w:hint="eastAsia"/>
          <w:kern w:val="0"/>
          <w:szCs w:val="32"/>
        </w:rPr>
        <w:t>基准适用的依据等向当事人说明，当事人有陈述、申辩意见，应记录在案。</w:t>
      </w:r>
    </w:p>
    <w:p w:rsidR="00BB782A" w:rsidRDefault="00BB782A" w:rsidP="00BB782A">
      <w:pPr>
        <w:pStyle w:val="a3"/>
        <w:shd w:val="clear" w:color="auto" w:fill="FFFFFF"/>
        <w:spacing w:line="560" w:lineRule="exact"/>
        <w:rPr>
          <w:rFonts w:ascii="仿宋_GB2312" w:cs="宋体"/>
          <w:kern w:val="0"/>
          <w:szCs w:val="32"/>
        </w:rPr>
      </w:pPr>
      <w:r>
        <w:rPr>
          <w:rFonts w:ascii="仿宋_GB2312" w:cs="宋体" w:hint="eastAsia"/>
          <w:b/>
          <w:kern w:val="0"/>
          <w:szCs w:val="32"/>
        </w:rPr>
        <w:t xml:space="preserve">   </w:t>
      </w:r>
      <w:r>
        <w:rPr>
          <w:rFonts w:ascii="黑体" w:eastAsia="黑体" w:hAnsi="黑体" w:cs="黑体" w:hint="eastAsia"/>
          <w:kern w:val="0"/>
          <w:szCs w:val="32"/>
        </w:rPr>
        <w:t xml:space="preserve"> 第十八条</w:t>
      </w:r>
      <w:r>
        <w:rPr>
          <w:rFonts w:ascii="仿宋_GB2312" w:cs="宋体" w:hint="eastAsia"/>
          <w:kern w:val="0"/>
          <w:szCs w:val="32"/>
        </w:rPr>
        <w:t xml:space="preserve">  从轻处罚，是指在法律、法规、规章规定的行政处罚种类、幅度内，选择较轻或者最轻的处罚种类或者处罚幅度；从重处罚，是指在法律、法规、规章规定的行政处罚种类、幅度内，选择较重或者最重的处罚种类或者处罚幅度。从轻处罚的，应按《湖南省烟草专卖行政处罚裁量基准》规定的相应裁量阶次下调阶次处罚，或者按最轻的处罚种类或幅度处罚；从重处罚的，应按《湖南省烟草专卖行政处罚裁量基准》规定的相应裁量阶次上调阶次处罚，或者按最重的处罚种类或幅度处罚。减轻处罚，是指在法律、法规、规章规定的行政处罚种类、幅度的最低限以下，给予其他种类或者幅度的行政处罚。同时具有两个或两个以上从重情节且不具有从轻、减轻情节的，应当按法律、法规、规章规定的最高处罚幅度实施处罚；同时具有两个或两个以上从轻情节且不具有从重情节的，应当按法律、法规、规章规定的最低处罚幅度实施处罚；同时具有从轻、减轻和从重情节的，应当综合考虑，根据主要情节实施处罚，一般不适用免罚轻罚规定。</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第十九条</w:t>
      </w:r>
      <w:r>
        <w:rPr>
          <w:rFonts w:ascii="仿宋_GB2312" w:cs="宋体" w:hint="eastAsia"/>
          <w:kern w:val="0"/>
          <w:szCs w:val="32"/>
        </w:rPr>
        <w:t xml:space="preserve">  全省各级烟草专卖局在行使行政处罚裁量权时，应当告知行政处罚相对人违法事实、法律依据、处罚理由、裁量基准及享有的陈述权、申辩权、申请</w:t>
      </w:r>
      <w:proofErr w:type="gramStart"/>
      <w:r>
        <w:rPr>
          <w:rFonts w:ascii="仿宋_GB2312" w:cs="宋体" w:hint="eastAsia"/>
          <w:kern w:val="0"/>
          <w:szCs w:val="32"/>
        </w:rPr>
        <w:t>听证权</w:t>
      </w:r>
      <w:proofErr w:type="gramEnd"/>
      <w:r>
        <w:rPr>
          <w:rFonts w:ascii="仿宋_GB2312" w:cs="宋体" w:hint="eastAsia"/>
          <w:kern w:val="0"/>
          <w:szCs w:val="32"/>
        </w:rPr>
        <w:t>和请求回避权等内容。</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 xml:space="preserve">第二十条 </w:t>
      </w:r>
      <w:r>
        <w:rPr>
          <w:rFonts w:ascii="仿宋_GB2312" w:cs="宋体" w:hint="eastAsia"/>
          <w:kern w:val="0"/>
          <w:szCs w:val="32"/>
        </w:rPr>
        <w:t xml:space="preserve"> 省烟草专卖局对全省各级烟草专卖局执行</w:t>
      </w:r>
      <w:r>
        <w:rPr>
          <w:rFonts w:ascii="仿宋_GB2312" w:cs="宋体" w:hint="eastAsia"/>
          <w:kern w:val="0"/>
          <w:szCs w:val="32"/>
        </w:rPr>
        <w:lastRenderedPageBreak/>
        <w:t>行政处罚裁量基准、适用规则及相关制度的情况，适时进行监督检查。</w:t>
      </w:r>
    </w:p>
    <w:p w:rsidR="00BB782A" w:rsidRDefault="00BB782A" w:rsidP="00BB782A">
      <w:pPr>
        <w:pStyle w:val="a3"/>
        <w:spacing w:line="560" w:lineRule="exact"/>
        <w:ind w:firstLineChars="200" w:firstLine="640"/>
        <w:rPr>
          <w:rFonts w:ascii="仿宋_GB2312" w:cs="宋体"/>
          <w:kern w:val="0"/>
          <w:szCs w:val="32"/>
        </w:rPr>
      </w:pPr>
      <w:r>
        <w:rPr>
          <w:rFonts w:ascii="仿宋_GB2312" w:cs="宋体" w:hint="eastAsia"/>
          <w:kern w:val="0"/>
          <w:szCs w:val="32"/>
        </w:rPr>
        <w:t>全省各级烟草专卖局在案件评查和执法检查中，应对适用行政处罚裁量</w:t>
      </w:r>
      <w:proofErr w:type="gramStart"/>
      <w:r>
        <w:rPr>
          <w:rFonts w:ascii="仿宋_GB2312" w:cs="宋体" w:hint="eastAsia"/>
          <w:kern w:val="0"/>
          <w:szCs w:val="32"/>
        </w:rPr>
        <w:t>权情况</w:t>
      </w:r>
      <w:proofErr w:type="gramEnd"/>
      <w:r>
        <w:rPr>
          <w:rFonts w:ascii="仿宋_GB2312" w:cs="宋体" w:hint="eastAsia"/>
          <w:kern w:val="0"/>
          <w:szCs w:val="32"/>
        </w:rPr>
        <w:t>进行监督检查。</w:t>
      </w:r>
    </w:p>
    <w:p w:rsidR="00BB782A" w:rsidRDefault="00BB782A" w:rsidP="00BB782A">
      <w:pPr>
        <w:pStyle w:val="a3"/>
        <w:shd w:val="clear" w:color="auto" w:fill="FFFFFF"/>
        <w:spacing w:line="560" w:lineRule="exact"/>
        <w:ind w:firstLineChars="200" w:firstLine="640"/>
        <w:rPr>
          <w:rFonts w:ascii="仿宋_GB2312" w:cs="宋体"/>
          <w:kern w:val="0"/>
          <w:szCs w:val="32"/>
        </w:rPr>
      </w:pPr>
      <w:r>
        <w:rPr>
          <w:rFonts w:ascii="黑体" w:eastAsia="黑体" w:hAnsi="黑体" w:cs="黑体" w:hint="eastAsia"/>
          <w:kern w:val="0"/>
          <w:szCs w:val="32"/>
        </w:rPr>
        <w:t>第二十一条</w:t>
      </w:r>
      <w:r>
        <w:rPr>
          <w:rFonts w:ascii="仿宋_GB2312" w:cs="宋体" w:hint="eastAsia"/>
          <w:kern w:val="0"/>
          <w:szCs w:val="32"/>
        </w:rPr>
        <w:t xml:space="preserve">  对滥用裁量权造成不良后果的，依法依规追究责任。</w:t>
      </w:r>
    </w:p>
    <w:p w:rsidR="00BB782A" w:rsidRDefault="00BB782A" w:rsidP="00BB782A">
      <w:pPr>
        <w:pStyle w:val="a3"/>
        <w:spacing w:line="560" w:lineRule="exact"/>
        <w:ind w:firstLineChars="200" w:firstLine="640"/>
        <w:rPr>
          <w:rFonts w:ascii="仿宋_GB2312" w:cs="宋体"/>
          <w:kern w:val="0"/>
          <w:szCs w:val="32"/>
        </w:rPr>
      </w:pPr>
      <w:r>
        <w:rPr>
          <w:rFonts w:ascii="黑体" w:eastAsia="黑体" w:hAnsi="黑体" w:cs="黑体" w:hint="eastAsia"/>
          <w:kern w:val="0"/>
          <w:szCs w:val="32"/>
        </w:rPr>
        <w:t>第二十二条</w:t>
      </w:r>
      <w:r>
        <w:rPr>
          <w:rFonts w:ascii="方正兰亭黑_GBK" w:hAnsi="方正兰亭黑_GBK" w:cs="宋体" w:hint="eastAsia"/>
          <w:b/>
          <w:kern w:val="0"/>
          <w:szCs w:val="32"/>
        </w:rPr>
        <w:t xml:space="preserve">  </w:t>
      </w:r>
      <w:r>
        <w:rPr>
          <w:rFonts w:ascii="仿宋_GB2312" w:cs="宋体" w:hint="eastAsia"/>
          <w:szCs w:val="32"/>
        </w:rPr>
        <w:t xml:space="preserve">《湖南省烟草专卖行政处罚裁量基准》《湖南省烟草专卖行政处罚“首违不罚”“轻微不罚”事项清单》的内容，除特别说明外，“不超过”“以上”包括本数，“以下”在表示最高罚款倍数（比例）或者最高罚款金额时包括本数，其他不包括本数。 </w:t>
      </w:r>
    </w:p>
    <w:p w:rsidR="00BB782A" w:rsidRDefault="00BB782A" w:rsidP="00BB782A">
      <w:pPr>
        <w:pStyle w:val="a3"/>
        <w:jc w:val="center"/>
        <w:rPr>
          <w:rFonts w:ascii="宋体" w:eastAsia="宋体" w:cs="宋体"/>
          <w:sz w:val="24"/>
        </w:rPr>
      </w:pPr>
      <w:r>
        <w:rPr>
          <w:rFonts w:ascii="方正小标宋简体" w:eastAsia="方正小标宋简体" w:cs="方正小标宋简体" w:hint="eastAsia"/>
          <w:bCs/>
          <w:kern w:val="0"/>
          <w:sz w:val="36"/>
          <w:szCs w:val="36"/>
        </w:rPr>
        <w:t xml:space="preserve"> </w:t>
      </w:r>
      <w:bookmarkStart w:id="1" w:name="_Toc15180"/>
      <w:bookmarkStart w:id="2" w:name="_Toc30212"/>
      <w:bookmarkStart w:id="3" w:name="_Toc19389"/>
      <w:bookmarkStart w:id="4" w:name="_Toc21142"/>
      <w:bookmarkStart w:id="5" w:name="_Toc4799"/>
      <w:bookmarkStart w:id="6" w:name="_Toc29738"/>
      <w:bookmarkStart w:id="7" w:name="_Toc3332"/>
      <w:bookmarkStart w:id="8" w:name="_Toc5376"/>
      <w:bookmarkStart w:id="9" w:name="_Toc23341"/>
      <w:bookmarkStart w:id="10" w:name="_Toc23003"/>
      <w:bookmarkStart w:id="11" w:name="_Toc19636"/>
      <w:bookmarkStart w:id="12" w:name="_Toc25811"/>
      <w:bookmarkStart w:id="13" w:name="_Toc15463"/>
      <w:bookmarkStart w:id="14" w:name="_Toc716"/>
      <w:bookmarkStart w:id="15" w:name="_Toc22717"/>
      <w:bookmarkStart w:id="16" w:name="_Toc28398"/>
      <w:bookmarkStart w:id="17" w:name="_Toc10724"/>
      <w:bookmarkStart w:id="18" w:name="_Toc16700"/>
      <w:bookmarkStart w:id="19" w:name="_Toc7577"/>
      <w:bookmarkStart w:id="20" w:name="_Toc11332"/>
      <w:bookmarkStart w:id="21" w:name="_Toc1049"/>
      <w:bookmarkStart w:id="22" w:name="_Toc24323"/>
      <w:bookmarkStart w:id="23" w:name="_Toc7691"/>
      <w:bookmarkStart w:id="24" w:name="_Toc16160"/>
      <w:bookmarkStart w:id="25" w:name="_Toc21992"/>
      <w:bookmarkStart w:id="26" w:name="_Toc22084"/>
      <w:bookmarkStart w:id="27" w:name="_Toc21178"/>
      <w:bookmarkStart w:id="28" w:name="_Toc15688"/>
      <w:bookmarkStart w:id="29" w:name="_Toc30537"/>
      <w:bookmarkStart w:id="30" w:name="_Toc17948"/>
      <w:bookmarkStart w:id="31" w:name="_Toc29684"/>
      <w:bookmarkStart w:id="32" w:name="_Toc9225"/>
      <w:bookmarkStart w:id="33" w:name="_Toc22250"/>
      <w:bookmarkStart w:id="34" w:name="_Toc10779"/>
      <w:bookmarkStart w:id="35" w:name="_Toc17156"/>
      <w:bookmarkStart w:id="36" w:name="_Toc665"/>
      <w:bookmarkStart w:id="37" w:name="_Toc12870"/>
      <w:bookmarkStart w:id="38" w:name="_Toc23372"/>
      <w:bookmarkStart w:id="39" w:name="_Toc8983"/>
      <w:bookmarkStart w:id="40" w:name="_Toc26294"/>
      <w:bookmarkStart w:id="41" w:name="_Toc19065"/>
      <w:bookmarkStart w:id="42" w:name="_Toc9077"/>
      <w:bookmarkStart w:id="43" w:name="_Toc1082"/>
      <w:bookmarkStart w:id="44" w:name="_Toc24934"/>
      <w:bookmarkStart w:id="45" w:name="_Toc3223"/>
      <w:bookmarkStart w:id="46" w:name="_Toc3850"/>
      <w:bookmarkStart w:id="47" w:name="_Toc27784"/>
      <w:bookmarkStart w:id="48" w:name="_Toc9472"/>
      <w:bookmarkStart w:id="49" w:name="_Toc7109"/>
      <w:bookmarkStart w:id="50" w:name="_Toc31661"/>
      <w:bookmarkStart w:id="51" w:name="_Toc17309"/>
      <w:bookmarkStart w:id="52" w:name="_Toc12594"/>
      <w:bookmarkStart w:id="53" w:name="_Toc4407"/>
      <w:bookmarkStart w:id="54" w:name="_Toc7564"/>
      <w:bookmarkStart w:id="55" w:name="_Toc6138"/>
      <w:bookmarkStart w:id="56" w:name="_Toc11485"/>
      <w:bookmarkStart w:id="57" w:name="_Toc24795"/>
      <w:bookmarkStart w:id="58" w:name="_Toc10816"/>
      <w:bookmarkStart w:id="59" w:name="_Toc10490"/>
      <w:bookmarkStart w:id="60" w:name="_Toc30432"/>
      <w:bookmarkStart w:id="61" w:name="_Toc30727"/>
      <w:bookmarkStart w:id="62" w:name="_Toc30373"/>
      <w:bookmarkStart w:id="63" w:name="_Toc10350"/>
      <w:bookmarkStart w:id="64" w:name="_Toc11505"/>
      <w:bookmarkStart w:id="65" w:name="_Toc3619"/>
      <w:bookmarkStart w:id="66" w:name="_Toc26244"/>
      <w:bookmarkStart w:id="67" w:name="_Toc2775"/>
      <w:bookmarkStart w:id="68" w:name="_Toc12576"/>
      <w:bookmarkStart w:id="69" w:name="_Toc11681"/>
      <w:bookmarkStart w:id="70" w:name="_Toc19412"/>
      <w:bookmarkStart w:id="71" w:name="_Toc4098"/>
      <w:bookmarkStart w:id="72" w:name="_Toc8004"/>
      <w:bookmarkStart w:id="73" w:name="_Toc17161"/>
      <w:bookmarkStart w:id="74" w:name="_Toc10109"/>
      <w:bookmarkStart w:id="75" w:name="_Toc24086"/>
      <w:bookmarkStart w:id="76" w:name="_Toc5190"/>
      <w:bookmarkStart w:id="77" w:name="_Toc1573"/>
      <w:bookmarkStart w:id="78" w:name="_Toc9982"/>
      <w:bookmarkStart w:id="79" w:name="_Toc32437"/>
      <w:bookmarkStart w:id="80" w:name="_Toc9478"/>
      <w:bookmarkStart w:id="81" w:name="_Toc22270"/>
      <w:bookmarkStart w:id="82" w:name="_Toc29929"/>
      <w:bookmarkStart w:id="83" w:name="_Toc18858"/>
      <w:bookmarkStart w:id="84" w:name="_Toc25434"/>
      <w:bookmarkStart w:id="85" w:name="_Toc22233"/>
      <w:bookmarkStart w:id="86" w:name="_Toc31422"/>
      <w:bookmarkStart w:id="87" w:name="_Toc15809"/>
      <w:bookmarkStart w:id="88" w:name="_Toc14507"/>
      <w:bookmarkStart w:id="89" w:name="_Toc20218"/>
      <w:bookmarkStart w:id="90" w:name="_Toc31389"/>
      <w:bookmarkStart w:id="91" w:name="_Toc23900"/>
      <w:bookmarkStart w:id="92" w:name="_Toc22320"/>
      <w:bookmarkStart w:id="93" w:name="_Toc25850"/>
      <w:bookmarkStart w:id="94" w:name="_Toc16527"/>
      <w:bookmarkStart w:id="95" w:name="_Toc24802"/>
      <w:bookmarkStart w:id="96" w:name="_Toc25906"/>
      <w:bookmarkStart w:id="97" w:name="_Toc13791"/>
      <w:bookmarkStart w:id="98" w:name="_Toc1147"/>
      <w:bookmarkStart w:id="99" w:name="_Toc31234"/>
      <w:bookmarkStart w:id="100" w:name="_Toc4179"/>
      <w:bookmarkStart w:id="101" w:name="_Toc5579"/>
      <w:bookmarkStart w:id="102" w:name="_Toc29382"/>
      <w:bookmarkStart w:id="103" w:name="_Toc13676"/>
      <w:bookmarkStart w:id="104" w:name="_Toc1593"/>
      <w:bookmarkStart w:id="105" w:name="_Toc13538"/>
      <w:bookmarkStart w:id="106" w:name="_Toc4016"/>
      <w:bookmarkStart w:id="107" w:name="_Toc504"/>
      <w:bookmarkStart w:id="108" w:name="_Toc29319"/>
      <w:bookmarkStart w:id="109" w:name="_Toc29420"/>
      <w:bookmarkStart w:id="110" w:name="_Toc18382"/>
      <w:bookmarkStart w:id="111" w:name="_Toc1314"/>
      <w:bookmarkStart w:id="112" w:name="_Toc16988"/>
      <w:bookmarkStart w:id="113" w:name="_Toc18410"/>
      <w:bookmarkStart w:id="114" w:name="_Toc6763"/>
      <w:bookmarkStart w:id="115" w:name="_Toc11122"/>
      <w:bookmarkStart w:id="116" w:name="_Toc3517"/>
      <w:bookmarkStart w:id="117" w:name="_Toc7104"/>
      <w:bookmarkStart w:id="118" w:name="_Toc27642"/>
      <w:bookmarkStart w:id="119" w:name="_Toc19660"/>
      <w:bookmarkStart w:id="120" w:name="_Toc3103"/>
      <w:bookmarkStart w:id="121" w:name="_Toc11922"/>
      <w:bookmarkStart w:id="122" w:name="_Toc9818"/>
      <w:bookmarkStart w:id="123" w:name="_Toc28753"/>
      <w:bookmarkStart w:id="124" w:name="_Toc31354"/>
      <w:bookmarkStart w:id="125" w:name="_Toc9194"/>
      <w:bookmarkStart w:id="126" w:name="_Toc2277"/>
      <w:bookmarkStart w:id="127" w:name="_Toc25743"/>
      <w:bookmarkStart w:id="128" w:name="_Toc27768"/>
      <w:bookmarkStart w:id="129" w:name="_Toc808"/>
      <w:bookmarkStart w:id="130" w:name="_Toc6055"/>
      <w:bookmarkStart w:id="131" w:name="_Toc31520"/>
      <w:bookmarkStart w:id="132" w:name="_Toc354"/>
      <w:bookmarkStart w:id="133" w:name="_Toc18830"/>
      <w:bookmarkStart w:id="134" w:name="_Toc22810"/>
      <w:bookmarkStart w:id="135" w:name="_Toc9901"/>
      <w:bookmarkStart w:id="136" w:name="_Toc13635"/>
      <w:bookmarkStart w:id="137" w:name="_Toc32343"/>
      <w:bookmarkStart w:id="138" w:name="_Toc12025"/>
      <w:bookmarkStart w:id="139" w:name="_Toc28377"/>
      <w:bookmarkStart w:id="140" w:name="_Toc30030"/>
      <w:bookmarkStart w:id="141" w:name="_Toc24503"/>
      <w:bookmarkStart w:id="142" w:name="_Toc23985"/>
      <w:bookmarkStart w:id="143" w:name="_Toc23231"/>
      <w:bookmarkStart w:id="144" w:name="_Toc19521"/>
      <w:bookmarkStart w:id="145" w:name="_Toc17737"/>
      <w:bookmarkStart w:id="146" w:name="_Toc27797"/>
      <w:bookmarkStart w:id="147" w:name="_Toc21854"/>
      <w:bookmarkStart w:id="148" w:name="_Toc9672"/>
      <w:bookmarkStart w:id="149" w:name="_Toc22946"/>
      <w:bookmarkStart w:id="150" w:name="_Toc27738"/>
      <w:bookmarkStart w:id="151" w:name="_Toc5861"/>
      <w:bookmarkStart w:id="152" w:name="_Toc15872"/>
      <w:bookmarkStart w:id="153" w:name="_Toc1094"/>
      <w:bookmarkStart w:id="154" w:name="_Toc23892"/>
      <w:bookmarkStart w:id="155" w:name="_Toc1468"/>
      <w:bookmarkStart w:id="156" w:name="_Toc21671"/>
      <w:bookmarkStart w:id="157" w:name="_Toc7432"/>
      <w:bookmarkStart w:id="158" w:name="_Toc4958"/>
      <w:bookmarkStart w:id="159" w:name="_Toc9920"/>
      <w:bookmarkStart w:id="160" w:name="_Toc3717"/>
      <w:bookmarkStart w:id="161" w:name="_Toc32278"/>
      <w:bookmarkStart w:id="162" w:name="_Toc17935"/>
      <w:bookmarkStart w:id="163" w:name="_Toc4899"/>
      <w:bookmarkStart w:id="164" w:name="_Toc22182"/>
      <w:bookmarkStart w:id="165" w:name="_Toc26443"/>
      <w:bookmarkStart w:id="166" w:name="_Toc12109"/>
      <w:bookmarkStart w:id="167" w:name="_Toc4481"/>
      <w:bookmarkStart w:id="168" w:name="_Toc5789"/>
      <w:bookmarkStart w:id="169" w:name="_Toc8613"/>
      <w:bookmarkStart w:id="170" w:name="_Toc25791"/>
      <w:bookmarkStart w:id="171" w:name="_Toc6931"/>
      <w:bookmarkStart w:id="172" w:name="_Toc6045"/>
      <w:bookmarkStart w:id="173" w:name="_Toc27279"/>
      <w:bookmarkStart w:id="174" w:name="_Toc8692"/>
      <w:bookmarkStart w:id="175" w:name="_Toc3170"/>
      <w:bookmarkStart w:id="176" w:name="_Toc1609"/>
      <w:bookmarkStart w:id="177" w:name="_Toc28906"/>
      <w:bookmarkStart w:id="178" w:name="_Toc32090"/>
      <w:bookmarkStart w:id="179" w:name="_Toc17344"/>
      <w:bookmarkStart w:id="180" w:name="_Toc22218"/>
      <w:bookmarkStart w:id="181" w:name="_Toc10063"/>
      <w:bookmarkStart w:id="182" w:name="_Toc23255"/>
      <w:bookmarkStart w:id="183" w:name="_Toc26747"/>
      <w:bookmarkStart w:id="184" w:name="_Toc18036"/>
      <w:bookmarkStart w:id="185" w:name="_Toc28552"/>
      <w:bookmarkStart w:id="186" w:name="_Toc24126"/>
      <w:bookmarkStart w:id="187" w:name="_Toc14989"/>
      <w:bookmarkStart w:id="188" w:name="_Toc25416"/>
      <w:bookmarkStart w:id="189" w:name="_Toc15340"/>
      <w:bookmarkStart w:id="190" w:name="_Toc2316"/>
      <w:bookmarkStart w:id="191" w:name="_Toc13694"/>
      <w:bookmarkStart w:id="192" w:name="_Toc18568"/>
      <w:bookmarkStart w:id="193" w:name="_Toc18539"/>
      <w:bookmarkStart w:id="194" w:name="_Toc18101"/>
      <w:bookmarkStart w:id="195" w:name="_Toc1782"/>
      <w:bookmarkStart w:id="196" w:name="_Toc13353"/>
      <w:bookmarkStart w:id="197" w:name="_Toc20710"/>
      <w:bookmarkStart w:id="198" w:name="_Toc10114"/>
      <w:bookmarkStart w:id="199" w:name="_Toc30322"/>
      <w:bookmarkStart w:id="200" w:name="_Toc17596"/>
      <w:bookmarkStart w:id="201" w:name="_Toc22980"/>
      <w:bookmarkStart w:id="202" w:name="_Toc26780"/>
      <w:bookmarkStart w:id="203" w:name="_Toc12837"/>
      <w:bookmarkStart w:id="204" w:name="_Toc30527"/>
      <w:bookmarkStart w:id="205" w:name="_Toc15027"/>
      <w:bookmarkStart w:id="206" w:name="_Toc14325"/>
      <w:bookmarkStart w:id="207" w:name="_Toc4329"/>
      <w:bookmarkStart w:id="208" w:name="_Toc22454"/>
      <w:bookmarkStart w:id="209" w:name="_Toc12355"/>
      <w:bookmarkStart w:id="210" w:name="_Toc27785"/>
      <w:bookmarkStart w:id="211" w:name="_Toc32386"/>
      <w:bookmarkStart w:id="212" w:name="_Toc16649"/>
      <w:bookmarkStart w:id="213" w:name="_Toc12492"/>
      <w:bookmarkStart w:id="214" w:name="_Toc2426"/>
      <w:bookmarkStart w:id="215" w:name="_Toc30802"/>
      <w:bookmarkStart w:id="216" w:name="_Toc30981"/>
      <w:bookmarkStart w:id="217" w:name="_Toc5097"/>
      <w:bookmarkStart w:id="218" w:name="_Toc10648"/>
      <w:bookmarkStart w:id="219" w:name="_Toc32368"/>
      <w:bookmarkStart w:id="220" w:name="_Toc25127"/>
      <w:bookmarkStart w:id="221" w:name="_Toc21503"/>
      <w:bookmarkStart w:id="222" w:name="_Toc18857"/>
      <w:bookmarkStart w:id="223" w:name="_Toc17152"/>
      <w:bookmarkStart w:id="224" w:name="_Toc18878"/>
      <w:bookmarkStart w:id="225" w:name="_Toc7944"/>
      <w:bookmarkStart w:id="226" w:name="_Toc2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pStyle w:val="a3"/>
      </w:pPr>
    </w:p>
    <w:p w:rsidR="00BB782A" w:rsidRDefault="00BB782A" w:rsidP="00BB782A">
      <w:pPr>
        <w:snapToGrid w:val="0"/>
        <w:spacing w:line="360" w:lineRule="auto"/>
        <w:ind w:firstLineChars="100" w:firstLine="320"/>
        <w:rPr>
          <w:rFonts w:ascii="仿宋_GB2312"/>
          <w:color w:val="000000"/>
        </w:rPr>
      </w:pPr>
    </w:p>
    <w:p w:rsidR="00BB782A" w:rsidRDefault="00BB782A" w:rsidP="00BB782A">
      <w:pPr>
        <w:snapToGrid w:val="0"/>
        <w:spacing w:line="360" w:lineRule="auto"/>
        <w:ind w:firstLineChars="100" w:firstLine="320"/>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p>
    <w:p w:rsidR="00BB782A" w:rsidRDefault="00BB782A" w:rsidP="00BB782A">
      <w:pPr>
        <w:snapToGrid w:val="0"/>
        <w:spacing w:line="360" w:lineRule="auto"/>
        <w:rPr>
          <w:rFonts w:ascii="仿宋_GB2312"/>
          <w:color w:val="000000"/>
        </w:rPr>
      </w:pPr>
      <w:bookmarkStart w:id="227" w:name="_GoBack"/>
      <w:bookmarkEnd w:id="227"/>
    </w:p>
    <w:tbl>
      <w:tblPr>
        <w:tblpPr w:leftFromText="180" w:rightFromText="180" w:vertAnchor="text" w:horzAnchor="page" w:tblpX="1517" w:tblpY="1851"/>
        <w:tblOverlap w:val="neve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BB782A" w:rsidTr="00380389">
        <w:tc>
          <w:tcPr>
            <w:tcW w:w="9060" w:type="dxa"/>
            <w:tcBorders>
              <w:top w:val="single" w:sz="4" w:space="0" w:color="auto"/>
              <w:bottom w:val="single" w:sz="4" w:space="0" w:color="auto"/>
            </w:tcBorders>
          </w:tcPr>
          <w:p w:rsidR="00BB782A" w:rsidRDefault="00BB782A" w:rsidP="00380389">
            <w:pPr>
              <w:snapToGrid w:val="0"/>
              <w:spacing w:line="560" w:lineRule="exact"/>
              <w:rPr>
                <w:rFonts w:ascii="仿宋_GB2312"/>
                <w:color w:val="000000"/>
              </w:rPr>
            </w:pPr>
            <w:r>
              <w:rPr>
                <w:rFonts w:ascii="仿宋_GB2312" w:hint="eastAsia"/>
                <w:sz w:val="28"/>
              </w:rPr>
              <w:t>分送：</w:t>
            </w:r>
            <w:r>
              <w:rPr>
                <w:rFonts w:ascii="仿宋_GB2312"/>
                <w:sz w:val="28"/>
              </w:rPr>
              <w:t>局领导，机关相关处室。</w:t>
            </w:r>
          </w:p>
        </w:tc>
      </w:tr>
      <w:tr w:rsidR="00BB782A" w:rsidTr="00380389">
        <w:tc>
          <w:tcPr>
            <w:tcW w:w="9060" w:type="dxa"/>
            <w:tcBorders>
              <w:top w:val="single" w:sz="4" w:space="0" w:color="auto"/>
              <w:bottom w:val="single" w:sz="4" w:space="0" w:color="auto"/>
            </w:tcBorders>
          </w:tcPr>
          <w:p w:rsidR="00BB782A" w:rsidRDefault="00BB782A" w:rsidP="00380389">
            <w:pPr>
              <w:snapToGrid w:val="0"/>
              <w:spacing w:line="560" w:lineRule="exact"/>
              <w:rPr>
                <w:rFonts w:ascii="仿宋_GB2312"/>
                <w:color w:val="000000"/>
              </w:rPr>
            </w:pPr>
            <w:r>
              <w:rPr>
                <w:rFonts w:ascii="仿宋_GB2312" w:hint="eastAsia"/>
                <w:sz w:val="28"/>
              </w:rPr>
              <w:t xml:space="preserve">湖南省烟草专卖局办公室         </w:t>
            </w:r>
            <w:r>
              <w:rPr>
                <w:rFonts w:ascii="仿宋_GB2312"/>
                <w:sz w:val="28"/>
              </w:rPr>
              <w:t xml:space="preserve">          </w:t>
            </w:r>
            <w:r>
              <w:rPr>
                <w:rFonts w:ascii="仿宋_GB2312" w:hint="eastAsia"/>
                <w:sz w:val="28"/>
              </w:rPr>
              <w:t xml:space="preserve">  </w:t>
            </w:r>
            <w:r>
              <w:rPr>
                <w:rFonts w:ascii="仿宋_GB2312"/>
                <w:sz w:val="28"/>
              </w:rPr>
              <w:t>202</w:t>
            </w:r>
            <w:r>
              <w:rPr>
                <w:rFonts w:ascii="仿宋_GB2312" w:hint="eastAsia"/>
                <w:sz w:val="28"/>
              </w:rPr>
              <w:t>4</w:t>
            </w:r>
            <w:r>
              <w:rPr>
                <w:rFonts w:ascii="仿宋_GB2312"/>
                <w:sz w:val="28"/>
              </w:rPr>
              <w:t>年2月</w:t>
            </w:r>
            <w:r>
              <w:rPr>
                <w:rFonts w:ascii="仿宋_GB2312" w:hint="eastAsia"/>
                <w:sz w:val="28"/>
              </w:rPr>
              <w:t>7</w:t>
            </w:r>
            <w:r>
              <w:rPr>
                <w:rFonts w:ascii="仿宋_GB2312"/>
                <w:sz w:val="28"/>
              </w:rPr>
              <w:t>日</w:t>
            </w:r>
            <w:r>
              <w:rPr>
                <w:rFonts w:ascii="仿宋_GB2312" w:hint="eastAsia"/>
                <w:sz w:val="28"/>
              </w:rPr>
              <w:t>印发</w:t>
            </w:r>
          </w:p>
        </w:tc>
      </w:tr>
    </w:tbl>
    <w:p w:rsidR="00BB782A" w:rsidRPr="00BB782A" w:rsidRDefault="00BB782A">
      <w:pPr>
        <w:rPr>
          <w:rFonts w:hint="eastAsia"/>
        </w:rPr>
      </w:pPr>
    </w:p>
    <w:p w:rsidR="00BB782A" w:rsidRDefault="00BB782A"/>
    <w:sectPr w:rsidR="00BB78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DF" w:rsidRDefault="00B403DF" w:rsidP="00BB782A">
      <w:r>
        <w:separator/>
      </w:r>
    </w:p>
  </w:endnote>
  <w:endnote w:type="continuationSeparator" w:id="0">
    <w:p w:rsidR="00B403DF" w:rsidRDefault="00B403DF" w:rsidP="00BB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Lucida Sans">
    <w:altName w:val="Arial Unicode MS"/>
    <w:charset w:val="00"/>
    <w:family w:val="auto"/>
    <w:pitch w:val="default"/>
    <w:sig w:usb0="00000003" w:usb1="00000000" w:usb2="00000000" w:usb3="00000000" w:csb0="2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兰亭黑_GBK">
    <w:altName w:val="Arial Unicode MS"/>
    <w:charset w:val="86"/>
    <w:family w:val="script"/>
    <w:pitch w:val="variable"/>
    <w:sig w:usb0="00000000" w:usb1="3ACF7CFA" w:usb2="0008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02193"/>
      <w:docPartObj>
        <w:docPartGallery w:val="Page Numbers (Bottom of Page)"/>
        <w:docPartUnique/>
      </w:docPartObj>
    </w:sdtPr>
    <w:sdtContent>
      <w:p w:rsidR="00BB782A" w:rsidRDefault="00BB782A">
        <w:pPr>
          <w:pStyle w:val="a6"/>
          <w:jc w:val="center"/>
        </w:pPr>
        <w:r>
          <w:fldChar w:fldCharType="begin"/>
        </w:r>
        <w:r>
          <w:instrText>PAGE   \* MERGEFORMAT</w:instrText>
        </w:r>
        <w:r>
          <w:fldChar w:fldCharType="separate"/>
        </w:r>
        <w:r w:rsidRPr="00BB782A">
          <w:rPr>
            <w:noProof/>
            <w:lang w:val="zh-CN"/>
          </w:rPr>
          <w:t>1</w:t>
        </w:r>
        <w:r>
          <w:fldChar w:fldCharType="end"/>
        </w:r>
      </w:p>
    </w:sdtContent>
  </w:sdt>
  <w:p w:rsidR="00BB782A" w:rsidRDefault="00BB78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DF" w:rsidRDefault="00B403DF" w:rsidP="00BB782A">
      <w:r>
        <w:separator/>
      </w:r>
    </w:p>
  </w:footnote>
  <w:footnote w:type="continuationSeparator" w:id="0">
    <w:p w:rsidR="00B403DF" w:rsidRDefault="00B403DF" w:rsidP="00BB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B5"/>
    <w:rsid w:val="000107C0"/>
    <w:rsid w:val="0001640C"/>
    <w:rsid w:val="00066691"/>
    <w:rsid w:val="00085E6E"/>
    <w:rsid w:val="000948C2"/>
    <w:rsid w:val="0030666B"/>
    <w:rsid w:val="00383EED"/>
    <w:rsid w:val="00394D0E"/>
    <w:rsid w:val="00472A60"/>
    <w:rsid w:val="004D141A"/>
    <w:rsid w:val="004E015C"/>
    <w:rsid w:val="00565137"/>
    <w:rsid w:val="006054AC"/>
    <w:rsid w:val="00775CBC"/>
    <w:rsid w:val="00777AE9"/>
    <w:rsid w:val="007A2CB5"/>
    <w:rsid w:val="00861885"/>
    <w:rsid w:val="008955FB"/>
    <w:rsid w:val="009125C1"/>
    <w:rsid w:val="00A35A2B"/>
    <w:rsid w:val="00A52F07"/>
    <w:rsid w:val="00AB7178"/>
    <w:rsid w:val="00B403DF"/>
    <w:rsid w:val="00B4337E"/>
    <w:rsid w:val="00BB782A"/>
    <w:rsid w:val="00BE56AC"/>
    <w:rsid w:val="00C4401D"/>
    <w:rsid w:val="00D476B6"/>
    <w:rsid w:val="00DB483B"/>
    <w:rsid w:val="00E9168D"/>
    <w:rsid w:val="00F1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782A"/>
    <w:pPr>
      <w:widowControl w:val="0"/>
      <w:jc w:val="both"/>
    </w:pPr>
    <w:rPr>
      <w:rFonts w:ascii="Times New Roman" w:eastAsia="仿宋_GB2312" w:hAnsi="Times New Roman" w:cs="Lucida San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三号"/>
    <w:rsid w:val="00BB782A"/>
    <w:pPr>
      <w:widowControl w:val="0"/>
      <w:jc w:val="both"/>
    </w:pPr>
    <w:rPr>
      <w:rFonts w:ascii="Times New Roman" w:eastAsia="仿宋_GB2312" w:hAnsi="Times New Roman" w:cs="Times New Roman"/>
      <w:sz w:val="32"/>
      <w:szCs w:val="24"/>
    </w:rPr>
  </w:style>
  <w:style w:type="paragraph" w:styleId="a4">
    <w:name w:val="Date"/>
    <w:basedOn w:val="a"/>
    <w:next w:val="a"/>
    <w:link w:val="Char"/>
    <w:uiPriority w:val="99"/>
    <w:semiHidden/>
    <w:unhideWhenUsed/>
    <w:rsid w:val="00BB782A"/>
    <w:pPr>
      <w:ind w:leftChars="2500" w:left="100"/>
    </w:pPr>
  </w:style>
  <w:style w:type="character" w:customStyle="1" w:styleId="Char">
    <w:name w:val="日期 Char"/>
    <w:basedOn w:val="a0"/>
    <w:link w:val="a4"/>
    <w:uiPriority w:val="99"/>
    <w:semiHidden/>
    <w:rsid w:val="00BB782A"/>
    <w:rPr>
      <w:rFonts w:ascii="Times New Roman" w:eastAsia="仿宋_GB2312" w:hAnsi="Times New Roman" w:cs="Lucida Sans"/>
      <w:sz w:val="32"/>
      <w:szCs w:val="20"/>
    </w:rPr>
  </w:style>
  <w:style w:type="paragraph" w:styleId="a5">
    <w:name w:val="header"/>
    <w:basedOn w:val="a"/>
    <w:link w:val="Char0"/>
    <w:uiPriority w:val="99"/>
    <w:unhideWhenUsed/>
    <w:rsid w:val="00BB78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782A"/>
    <w:rPr>
      <w:rFonts w:ascii="Times New Roman" w:eastAsia="仿宋_GB2312" w:hAnsi="Times New Roman" w:cs="Lucida Sans"/>
      <w:sz w:val="18"/>
      <w:szCs w:val="18"/>
    </w:rPr>
  </w:style>
  <w:style w:type="paragraph" w:styleId="a6">
    <w:name w:val="footer"/>
    <w:basedOn w:val="a"/>
    <w:link w:val="Char1"/>
    <w:uiPriority w:val="99"/>
    <w:unhideWhenUsed/>
    <w:rsid w:val="00BB782A"/>
    <w:pPr>
      <w:tabs>
        <w:tab w:val="center" w:pos="4153"/>
        <w:tab w:val="right" w:pos="8306"/>
      </w:tabs>
      <w:snapToGrid w:val="0"/>
      <w:jc w:val="left"/>
    </w:pPr>
    <w:rPr>
      <w:sz w:val="18"/>
      <w:szCs w:val="18"/>
    </w:rPr>
  </w:style>
  <w:style w:type="character" w:customStyle="1" w:styleId="Char1">
    <w:name w:val="页脚 Char"/>
    <w:basedOn w:val="a0"/>
    <w:link w:val="a6"/>
    <w:uiPriority w:val="99"/>
    <w:rsid w:val="00BB782A"/>
    <w:rPr>
      <w:rFonts w:ascii="Times New Roman" w:eastAsia="仿宋_GB2312" w:hAnsi="Times New Roman" w:cs="Lucida San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782A"/>
    <w:pPr>
      <w:widowControl w:val="0"/>
      <w:jc w:val="both"/>
    </w:pPr>
    <w:rPr>
      <w:rFonts w:ascii="Times New Roman" w:eastAsia="仿宋_GB2312" w:hAnsi="Times New Roman" w:cs="Lucida San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三号"/>
    <w:rsid w:val="00BB782A"/>
    <w:pPr>
      <w:widowControl w:val="0"/>
      <w:jc w:val="both"/>
    </w:pPr>
    <w:rPr>
      <w:rFonts w:ascii="Times New Roman" w:eastAsia="仿宋_GB2312" w:hAnsi="Times New Roman" w:cs="Times New Roman"/>
      <w:sz w:val="32"/>
      <w:szCs w:val="24"/>
    </w:rPr>
  </w:style>
  <w:style w:type="paragraph" w:styleId="a4">
    <w:name w:val="Date"/>
    <w:basedOn w:val="a"/>
    <w:next w:val="a"/>
    <w:link w:val="Char"/>
    <w:uiPriority w:val="99"/>
    <w:semiHidden/>
    <w:unhideWhenUsed/>
    <w:rsid w:val="00BB782A"/>
    <w:pPr>
      <w:ind w:leftChars="2500" w:left="100"/>
    </w:pPr>
  </w:style>
  <w:style w:type="character" w:customStyle="1" w:styleId="Char">
    <w:name w:val="日期 Char"/>
    <w:basedOn w:val="a0"/>
    <w:link w:val="a4"/>
    <w:uiPriority w:val="99"/>
    <w:semiHidden/>
    <w:rsid w:val="00BB782A"/>
    <w:rPr>
      <w:rFonts w:ascii="Times New Roman" w:eastAsia="仿宋_GB2312" w:hAnsi="Times New Roman" w:cs="Lucida Sans"/>
      <w:sz w:val="32"/>
      <w:szCs w:val="20"/>
    </w:rPr>
  </w:style>
  <w:style w:type="paragraph" w:styleId="a5">
    <w:name w:val="header"/>
    <w:basedOn w:val="a"/>
    <w:link w:val="Char0"/>
    <w:uiPriority w:val="99"/>
    <w:unhideWhenUsed/>
    <w:rsid w:val="00BB78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782A"/>
    <w:rPr>
      <w:rFonts w:ascii="Times New Roman" w:eastAsia="仿宋_GB2312" w:hAnsi="Times New Roman" w:cs="Lucida Sans"/>
      <w:sz w:val="18"/>
      <w:szCs w:val="18"/>
    </w:rPr>
  </w:style>
  <w:style w:type="paragraph" w:styleId="a6">
    <w:name w:val="footer"/>
    <w:basedOn w:val="a"/>
    <w:link w:val="Char1"/>
    <w:uiPriority w:val="99"/>
    <w:unhideWhenUsed/>
    <w:rsid w:val="00BB782A"/>
    <w:pPr>
      <w:tabs>
        <w:tab w:val="center" w:pos="4153"/>
        <w:tab w:val="right" w:pos="8306"/>
      </w:tabs>
      <w:snapToGrid w:val="0"/>
      <w:jc w:val="left"/>
    </w:pPr>
    <w:rPr>
      <w:sz w:val="18"/>
      <w:szCs w:val="18"/>
    </w:rPr>
  </w:style>
  <w:style w:type="character" w:customStyle="1" w:styleId="Char1">
    <w:name w:val="页脚 Char"/>
    <w:basedOn w:val="a0"/>
    <w:link w:val="a6"/>
    <w:uiPriority w:val="99"/>
    <w:rsid w:val="00BB782A"/>
    <w:rPr>
      <w:rFonts w:ascii="Times New Roman" w:eastAsia="仿宋_GB2312" w:hAnsi="Times New Roman" w:cs="Lucida San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汤锐</dc:creator>
  <cp:keywords/>
  <dc:description/>
  <cp:lastModifiedBy>汤锐</cp:lastModifiedBy>
  <cp:revision>2</cp:revision>
  <dcterms:created xsi:type="dcterms:W3CDTF">2024-02-07T09:27:00Z</dcterms:created>
  <dcterms:modified xsi:type="dcterms:W3CDTF">2024-02-07T09:33:00Z</dcterms:modified>
</cp:coreProperties>
</file>