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widowControl/>
        <w:spacing w:before="156" w:beforeLines="50" w:after="156" w:afterLines="50"/>
        <w:jc w:val="center"/>
        <w:rPr>
          <w:rFonts w:eastAsia="方正小标宋简体"/>
          <w:color w:val="000000"/>
          <w:sz w:val="42"/>
          <w:szCs w:val="42"/>
        </w:rPr>
      </w:pPr>
      <w:bookmarkStart w:id="0" w:name="_GoBack"/>
      <w:r>
        <w:rPr>
          <w:rFonts w:eastAsia="方正小标宋简体"/>
          <w:color w:val="000000"/>
          <w:sz w:val="42"/>
          <w:szCs w:val="42"/>
        </w:rPr>
        <w:t>市州高质量发展监测评价指标体系（试行）</w:t>
      </w:r>
    </w:p>
    <w:bookmarkEnd w:id="0"/>
    <w:tbl>
      <w:tblPr>
        <w:tblStyle w:val="3"/>
        <w:tblW w:w="9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25"/>
        <w:gridCol w:w="460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序号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指标名称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数据来源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总体产出水平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人均GDP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全员劳动生产率（包括农业劳动生产率、工业劳动生产率、服务业劳动生产率）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产业结构优化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第一、二、三产业结构比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制造业增加值占GDP比重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产业投资占固定资产投资比重（其中制造业投资占固定资产投资比重）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文化及相关产业增加值占GDP比重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省文化和旅游厅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财税质量提升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地方</w:t>
            </w:r>
            <w:r>
              <w:rPr>
                <w:color w:val="000000"/>
                <w:kern w:val="0"/>
              </w:rPr>
              <w:t>一般公共预算收入与GDP比率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省财政厅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税收占地方一般公共预算收入比重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省财政厅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民间投资占固定资产投资比重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社会消费品零售总额增长速度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“四上企业”个数（其中规模以上工业企业个数）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园区产出水平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单位面积税收产出强度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单位面积工业增加值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金融支持实体经济（制造业新增贷款占新增贷款比重）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</w:rPr>
            </w:pPr>
            <w:r>
              <w:rPr>
                <w:rFonts w:hint="eastAsia"/>
                <w:color w:val="000000"/>
                <w:spacing w:val="-10"/>
              </w:rPr>
              <w:t>人民银行长沙中心支行、湖南银保监局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防范化解风险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债务率（政府债务/综合财力）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商业银行不良贷款率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湖南银保监局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亿元GDP生产安全事故死亡率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省应急厅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地质灾害隐患消除率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研发投入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全社会R&amp;D经费支出占GDP比重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省科技厅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省统计局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省教育厅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ind w:right="-107" w:rightChars="-51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企业研发经费投入占主营业务收入比重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省工业和信息化厅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省科技厅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11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当年新认定的高新技术企业个数增长速度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农村基础设施建设水平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农村地区自然村（20户以上）光纤和4G覆盖率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省通信管理局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农村自来水普及率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4"/>
              <w:jc w:val="center"/>
              <w:rPr>
                <w:color w:val="000000"/>
                <w:kern w:val="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高标准农田比重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空气质量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空气质量优良天数比例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省生态环境厅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地级以上城市细颗粒物（PM</w:t>
            </w:r>
            <w:r>
              <w:rPr>
                <w:color w:val="000000"/>
                <w:spacing w:val="-6"/>
                <w:vertAlign w:val="subscript"/>
              </w:rPr>
              <w:t>2.5</w:t>
            </w:r>
            <w:r>
              <w:rPr>
                <w:color w:val="000000"/>
                <w:spacing w:val="-6"/>
              </w:rPr>
              <w:t>）年均浓度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地表水达到或好于Ⅲ类水体比例（国考断面、省考断面）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省生态环境厅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城镇污水垃圾处理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地级城市建成区黑臭水体消除比例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县以上城镇污水处理率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县以上城镇生活垃圾无害化处理率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对外贸易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进出口总额增长速度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省商务厅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</w:rPr>
              <w:t>进出口总额与GDP比率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招商引资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实际利用外资增长速度及占投资比重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省商务厅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实际利用内资增长速度及占投资比重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营商环境便利度指数（放管服改革、创新创业环境优化等）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省统计局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国家统计局湖南调查总队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居民收入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城镇居民人均可支配收入增长率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国家统计局湖南调查总队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农村居民人均可支配收入增长率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城镇调查失业率（登记失业率）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国家统计局湖南调查总队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人均拥有公共文化设施面积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各级教育毛入学率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医疗卫生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每千常住人口执业（助理）医师数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每千常住人口医疗机构床位数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社会安全</w:t>
            </w: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  <w:kern w:val="0"/>
              </w:rPr>
              <w:t>较大及以上道路交通事故次数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群体性事件次数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省委政法委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较大及以上生产安全事故（不含道路交通、火灾事故）次数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省应急厅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460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较大及以上火灾事故次数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省应急厅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31F6D"/>
    <w:rsid w:val="273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2019-01-17T09:00:00Z</dcterms:created>
  <dc:creator>Administrator</dc:creator>
  <cp:lastModifiedBy>Administrator</cp:lastModifiedBy>
  <dcterms:modified xsi:type="dcterms:W3CDTF">2019-01-17T09:01:27Z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