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77E44">
      <w:pPr>
        <w:pStyle w:val="7"/>
        <w:overflowPunct w:val="0"/>
        <w:autoSpaceDE w:val="0"/>
        <w:adjustRightInd w:val="0"/>
        <w:snapToGrid w:val="0"/>
        <w:spacing w:before="0" w:beforeAutospacing="0" w:after="0" w:afterAutospacing="0" w:line="660" w:lineRule="exact"/>
        <w:jc w:val="both"/>
        <w:rPr>
          <w:rFonts w:ascii="Times New Roman" w:hAnsi="Times New Roman" w:eastAsia="方正小标宋简体"/>
          <w:color w:val="000000"/>
          <w:sz w:val="52"/>
          <w:szCs w:val="52"/>
        </w:rPr>
      </w:pPr>
      <w:r>
        <w:rPr>
          <w:rFonts w:hint="eastAsia" w:ascii="Times New Roman" w:hAnsi="Times New Roman" w:eastAsia="方正小标宋简体"/>
          <w:color w:val="000000"/>
          <w:sz w:val="52"/>
          <w:szCs w:val="52"/>
        </w:rPr>
        <w:t>HNPR—2025—01012</w:t>
      </w:r>
    </w:p>
    <w:p w14:paraId="2417DF2D">
      <w:pPr>
        <w:pStyle w:val="7"/>
        <w:overflowPunct w:val="0"/>
        <w:autoSpaceDE w:val="0"/>
        <w:adjustRightInd w:val="0"/>
        <w:snapToGrid w:val="0"/>
        <w:spacing w:before="0" w:beforeAutospacing="0" w:after="0" w:afterAutospacing="0" w:line="660" w:lineRule="exact"/>
        <w:jc w:val="both"/>
        <w:rPr>
          <w:rFonts w:ascii="Times New Roman" w:hAnsi="Times New Roman" w:eastAsia="方正小标宋简体"/>
          <w:color w:val="000000"/>
          <w:sz w:val="52"/>
          <w:szCs w:val="52"/>
        </w:rPr>
      </w:pPr>
    </w:p>
    <w:p w14:paraId="2E1AFF69">
      <w:pPr>
        <w:pStyle w:val="7"/>
        <w:overflowPunct w:val="0"/>
        <w:autoSpaceDE w:val="0"/>
        <w:spacing w:before="0" w:beforeAutospacing="0" w:after="0" w:afterAutospacing="0" w:line="660" w:lineRule="exact"/>
        <w:jc w:val="center"/>
        <w:rPr>
          <w:rFonts w:ascii="Times New Roman" w:hAnsi="Times New Roman" w:eastAsia="方正小标宋简体"/>
          <w:color w:val="000000"/>
          <w:sz w:val="52"/>
          <w:szCs w:val="52"/>
        </w:rPr>
      </w:pPr>
      <w:r>
        <w:rPr>
          <w:rFonts w:ascii="Times New Roman" w:hAnsi="Times New Roman" w:eastAsia="方正小标宋简体"/>
          <w:color w:val="000000"/>
          <w:sz w:val="52"/>
          <w:szCs w:val="52"/>
        </w:rPr>
        <w:t>湖南省人民政府办公厅</w:t>
      </w:r>
    </w:p>
    <w:p w14:paraId="6A15FC54">
      <w:pPr>
        <w:pStyle w:val="7"/>
        <w:overflowPunct w:val="0"/>
        <w:autoSpaceDE w:val="0"/>
        <w:spacing w:before="0" w:beforeAutospacing="0" w:after="0" w:afterAutospacing="0" w:line="660" w:lineRule="exact"/>
        <w:jc w:val="center"/>
        <w:rPr>
          <w:rFonts w:ascii="Times New Roman" w:hAnsi="Times New Roman" w:eastAsia="方正小标宋简体"/>
          <w:color w:val="000000"/>
          <w:sz w:val="52"/>
          <w:szCs w:val="52"/>
        </w:rPr>
      </w:pPr>
      <w:r>
        <w:rPr>
          <w:rFonts w:ascii="Times New Roman" w:hAnsi="Times New Roman" w:eastAsia="方正小标宋简体"/>
          <w:color w:val="000000"/>
          <w:sz w:val="52"/>
          <w:szCs w:val="52"/>
        </w:rPr>
        <w:t>关于印发《湖南省推动营商环境</w:t>
      </w:r>
    </w:p>
    <w:p w14:paraId="1998FE0A">
      <w:pPr>
        <w:pStyle w:val="7"/>
        <w:overflowPunct w:val="0"/>
        <w:autoSpaceDE w:val="0"/>
        <w:spacing w:before="0" w:beforeAutospacing="0" w:after="0" w:afterAutospacing="0" w:line="660" w:lineRule="exact"/>
        <w:jc w:val="center"/>
        <w:rPr>
          <w:rFonts w:ascii="Times New Roman" w:hAnsi="Times New Roman" w:eastAsia="方正小标宋简体"/>
          <w:color w:val="000000"/>
          <w:sz w:val="52"/>
          <w:szCs w:val="52"/>
        </w:rPr>
      </w:pPr>
      <w:r>
        <w:rPr>
          <w:rFonts w:ascii="Times New Roman" w:hAnsi="Times New Roman" w:eastAsia="方正小标宋简体"/>
          <w:color w:val="000000"/>
          <w:sz w:val="52"/>
          <w:szCs w:val="52"/>
        </w:rPr>
        <w:t>优化提升若干举措》的通知</w:t>
      </w:r>
    </w:p>
    <w:p w14:paraId="0F527B4F">
      <w:pPr>
        <w:pStyle w:val="7"/>
        <w:overflowPunct w:val="0"/>
        <w:autoSpaceDE w:val="0"/>
        <w:spacing w:before="0" w:beforeAutospacing="0" w:after="0" w:afterAutospacing="0" w:line="660" w:lineRule="exact"/>
        <w:jc w:val="center"/>
        <w:rPr>
          <w:rFonts w:ascii="Times New Roman" w:hAnsi="Times New Roman" w:eastAsia="仿宋"/>
          <w:color w:val="000000"/>
          <w:sz w:val="44"/>
          <w:szCs w:val="44"/>
        </w:rPr>
      </w:pPr>
      <w:r>
        <w:rPr>
          <w:rFonts w:hint="eastAsia" w:ascii="Times New Roman" w:hAnsi="Times New Roman" w:eastAsia="仿宋"/>
          <w:color w:val="000000"/>
          <w:sz w:val="44"/>
          <w:szCs w:val="44"/>
        </w:rPr>
        <w:t>湘政办发〔2025〕26号</w:t>
      </w:r>
    </w:p>
    <w:p w14:paraId="39D388C6">
      <w:pPr>
        <w:pStyle w:val="7"/>
        <w:overflowPunct w:val="0"/>
        <w:autoSpaceDE w:val="0"/>
        <w:adjustRightInd w:val="0"/>
        <w:snapToGrid w:val="0"/>
        <w:spacing w:before="0" w:beforeAutospacing="0" w:after="0" w:afterAutospacing="0" w:line="660" w:lineRule="exact"/>
        <w:jc w:val="both"/>
        <w:rPr>
          <w:rFonts w:ascii="Times New Roman" w:hAnsi="Times New Roman" w:eastAsia="仿宋"/>
          <w:color w:val="000000"/>
          <w:sz w:val="44"/>
          <w:szCs w:val="44"/>
        </w:rPr>
      </w:pPr>
    </w:p>
    <w:p w14:paraId="13D4C3CD">
      <w:pPr>
        <w:overflowPunct w:val="0"/>
        <w:autoSpaceDE w:val="0"/>
        <w:adjustRightInd w:val="0"/>
        <w:snapToGrid w:val="0"/>
        <w:spacing w:line="660" w:lineRule="exact"/>
        <w:textAlignment w:val="baseline"/>
        <w:rPr>
          <w:rFonts w:eastAsia="仿宋_GB2312"/>
          <w:color w:val="000000"/>
          <w:sz w:val="44"/>
          <w:szCs w:val="44"/>
        </w:rPr>
      </w:pPr>
      <w:r>
        <w:rPr>
          <w:rStyle w:val="13"/>
          <w:rFonts w:eastAsia="仿宋_GB2312"/>
          <w:color w:val="000000"/>
          <w:sz w:val="44"/>
          <w:szCs w:val="44"/>
        </w:rPr>
        <w:t>各市州、县市区人民政府，省政府各厅委、各直属机构：</w:t>
      </w:r>
    </w:p>
    <w:p w14:paraId="4F0A938B">
      <w:pPr>
        <w:overflowPunct w:val="0"/>
        <w:adjustRightInd w:val="0"/>
        <w:snapToGrid w:val="0"/>
        <w:spacing w:line="660" w:lineRule="exact"/>
        <w:ind w:firstLine="880" w:firstLineChars="200"/>
        <w:rPr>
          <w:rFonts w:eastAsia="仿宋_GB2312"/>
          <w:color w:val="000000"/>
          <w:sz w:val="44"/>
          <w:szCs w:val="44"/>
        </w:rPr>
      </w:pPr>
      <w:r>
        <w:rPr>
          <w:rStyle w:val="13"/>
          <w:rFonts w:eastAsia="仿宋_GB2312"/>
          <w:color w:val="000000"/>
          <w:sz w:val="44"/>
          <w:szCs w:val="44"/>
        </w:rPr>
        <w:t>《湖南省推动营商环境优化提升若干举措》已经省委、省人民政府同意，现印发给你们，请认真贯彻落实。</w:t>
      </w:r>
    </w:p>
    <w:p w14:paraId="55A23D80">
      <w:pPr>
        <w:pStyle w:val="12"/>
        <w:overflowPunct w:val="0"/>
        <w:adjustRightInd w:val="0"/>
        <w:snapToGrid w:val="0"/>
        <w:spacing w:after="0" w:line="660" w:lineRule="exact"/>
        <w:ind w:firstLine="880" w:firstLineChars="200"/>
        <w:textAlignment w:val="auto"/>
        <w:rPr>
          <w:rStyle w:val="13"/>
          <w:rFonts w:eastAsia="仿宋_GB2312"/>
          <w:color w:val="000000"/>
          <w:sz w:val="44"/>
          <w:szCs w:val="44"/>
        </w:rPr>
      </w:pPr>
    </w:p>
    <w:p w14:paraId="25DAB1FC">
      <w:pPr>
        <w:pStyle w:val="12"/>
        <w:overflowPunct w:val="0"/>
        <w:adjustRightInd w:val="0"/>
        <w:snapToGrid w:val="0"/>
        <w:spacing w:after="0" w:line="660" w:lineRule="exact"/>
        <w:ind w:firstLine="880" w:firstLineChars="200"/>
        <w:textAlignment w:val="auto"/>
        <w:rPr>
          <w:rStyle w:val="13"/>
          <w:rFonts w:eastAsia="仿宋_GB2312"/>
          <w:color w:val="000000"/>
          <w:sz w:val="44"/>
          <w:szCs w:val="44"/>
        </w:rPr>
      </w:pPr>
    </w:p>
    <w:p w14:paraId="5F59E206">
      <w:pPr>
        <w:overflowPunct w:val="0"/>
        <w:autoSpaceDE w:val="0"/>
        <w:adjustRightInd w:val="0"/>
        <w:snapToGrid w:val="0"/>
        <w:spacing w:line="660" w:lineRule="exact"/>
        <w:textAlignment w:val="baseline"/>
        <w:rPr>
          <w:rFonts w:eastAsia="仿宋_GB2312"/>
          <w:color w:val="000000"/>
          <w:sz w:val="44"/>
          <w:szCs w:val="44"/>
        </w:rPr>
      </w:pPr>
    </w:p>
    <w:p w14:paraId="12C7BFA9">
      <w:pPr>
        <w:pStyle w:val="12"/>
        <w:overflowPunct w:val="0"/>
        <w:autoSpaceDE w:val="0"/>
        <w:adjustRightInd w:val="0"/>
        <w:snapToGrid w:val="0"/>
        <w:spacing w:after="0" w:line="660" w:lineRule="exact"/>
        <w:ind w:left="3360" w:leftChars="1600" w:firstLine="660" w:firstLineChars="150"/>
        <w:rPr>
          <w:rFonts w:ascii="Times New Roman" w:hAnsi="Times New Roman" w:eastAsia="仿宋_GB2312"/>
          <w:color w:val="000000"/>
          <w:sz w:val="44"/>
          <w:szCs w:val="44"/>
        </w:rPr>
      </w:pPr>
      <w:r>
        <w:rPr>
          <w:rStyle w:val="13"/>
          <w:rFonts w:eastAsia="仿宋_GB2312"/>
          <w:color w:val="000000"/>
          <w:sz w:val="44"/>
          <w:szCs w:val="44"/>
        </w:rPr>
        <w:t>湖南省人民政府办公厅</w:t>
      </w:r>
    </w:p>
    <w:p w14:paraId="34EB619E">
      <w:pPr>
        <w:pStyle w:val="12"/>
        <w:overflowPunct w:val="0"/>
        <w:autoSpaceDE w:val="0"/>
        <w:adjustRightInd w:val="0"/>
        <w:snapToGrid w:val="0"/>
        <w:spacing w:after="0" w:line="660" w:lineRule="exact"/>
        <w:ind w:left="3360" w:leftChars="1600" w:firstLine="880" w:firstLineChars="200"/>
        <w:rPr>
          <w:rFonts w:ascii="Times New Roman" w:hAnsi="Times New Roman" w:eastAsia="仿宋_GB2312"/>
          <w:color w:val="000000"/>
          <w:sz w:val="44"/>
          <w:szCs w:val="44"/>
        </w:rPr>
      </w:pPr>
      <w:r>
        <w:rPr>
          <w:rStyle w:val="13"/>
          <w:rFonts w:eastAsia="仿宋_GB2312"/>
          <w:color w:val="000000"/>
          <w:sz w:val="44"/>
          <w:szCs w:val="44"/>
        </w:rPr>
        <w:t xml:space="preserve">   2025年</w:t>
      </w:r>
      <w:r>
        <w:rPr>
          <w:rStyle w:val="13"/>
          <w:rFonts w:hint="eastAsia" w:eastAsia="仿宋_GB2312"/>
          <w:color w:val="000000"/>
          <w:sz w:val="44"/>
          <w:szCs w:val="44"/>
        </w:rPr>
        <w:t>6</w:t>
      </w:r>
      <w:r>
        <w:rPr>
          <w:rStyle w:val="13"/>
          <w:rFonts w:eastAsia="仿宋_GB2312"/>
          <w:color w:val="000000"/>
          <w:sz w:val="44"/>
          <w:szCs w:val="44"/>
        </w:rPr>
        <w:t>月</w:t>
      </w:r>
      <w:r>
        <w:rPr>
          <w:rStyle w:val="13"/>
          <w:rFonts w:hint="eastAsia" w:eastAsia="仿宋_GB2312"/>
          <w:color w:val="000000"/>
          <w:sz w:val="44"/>
          <w:szCs w:val="44"/>
        </w:rPr>
        <w:t>20</w:t>
      </w:r>
      <w:r>
        <w:rPr>
          <w:rStyle w:val="13"/>
          <w:rFonts w:eastAsia="仿宋_GB2312"/>
          <w:color w:val="000000"/>
          <w:sz w:val="44"/>
          <w:szCs w:val="44"/>
        </w:rPr>
        <w:t>日</w:t>
      </w:r>
    </w:p>
    <w:p w14:paraId="371341E6">
      <w:pPr>
        <w:pStyle w:val="12"/>
        <w:overflowPunct w:val="0"/>
        <w:adjustRightInd w:val="0"/>
        <w:snapToGrid w:val="0"/>
        <w:spacing w:after="0" w:line="660" w:lineRule="exact"/>
        <w:ind w:firstLine="880" w:firstLineChars="200"/>
        <w:textAlignment w:val="auto"/>
        <w:rPr>
          <w:rStyle w:val="13"/>
          <w:rFonts w:eastAsia="仿宋"/>
          <w:color w:val="000000"/>
          <w:sz w:val="44"/>
          <w:szCs w:val="44"/>
        </w:rPr>
      </w:pPr>
    </w:p>
    <w:p w14:paraId="5966BF0E">
      <w:pPr>
        <w:overflowPunct w:val="0"/>
        <w:autoSpaceDE w:val="0"/>
        <w:adjustRightInd w:val="0"/>
        <w:snapToGrid w:val="0"/>
        <w:spacing w:line="660" w:lineRule="exact"/>
        <w:ind w:firstLine="880" w:firstLineChars="200"/>
        <w:rPr>
          <w:rStyle w:val="13"/>
          <w:rFonts w:eastAsia="仿宋_GB2312"/>
          <w:color w:val="000000"/>
          <w:w w:val="98"/>
          <w:sz w:val="44"/>
          <w:szCs w:val="44"/>
        </w:rPr>
      </w:pPr>
      <w:r>
        <w:rPr>
          <w:rStyle w:val="13"/>
          <w:rFonts w:eastAsia="仿宋_GB2312"/>
          <w:color w:val="000000"/>
          <w:sz w:val="44"/>
          <w:szCs w:val="44"/>
        </w:rPr>
        <w:t>（此件主动公开）</w:t>
      </w:r>
    </w:p>
    <w:p w14:paraId="6BE4525C">
      <w:pPr>
        <w:spacing w:line="660" w:lineRule="exact"/>
      </w:pPr>
    </w:p>
    <w:p w14:paraId="572DC14D">
      <w:pPr>
        <w:pStyle w:val="7"/>
        <w:overflowPunct w:val="0"/>
        <w:autoSpaceDE w:val="0"/>
        <w:adjustRightInd w:val="0"/>
        <w:snapToGrid w:val="0"/>
        <w:spacing w:before="0" w:beforeAutospacing="0" w:after="0" w:afterAutospacing="0" w:line="660" w:lineRule="exact"/>
        <w:jc w:val="center"/>
        <w:rPr>
          <w:rFonts w:ascii="Times New Roman" w:hAnsi="Times New Roman" w:eastAsia="方正小标宋简体" w:cs="Calibri"/>
          <w:color w:val="000000"/>
          <w:sz w:val="48"/>
          <w:szCs w:val="48"/>
        </w:rPr>
      </w:pPr>
    </w:p>
    <w:p w14:paraId="28C0353B">
      <w:pPr>
        <w:pStyle w:val="7"/>
        <w:overflowPunct w:val="0"/>
        <w:autoSpaceDE w:val="0"/>
        <w:adjustRightInd w:val="0"/>
        <w:snapToGrid w:val="0"/>
        <w:spacing w:before="0" w:beforeAutospacing="0" w:after="0" w:afterAutospacing="0" w:line="660" w:lineRule="exact"/>
        <w:jc w:val="center"/>
        <w:rPr>
          <w:rFonts w:ascii="Times New Roman" w:hAnsi="Times New Roman" w:eastAsia="方正小标宋简体" w:cs="Calibri"/>
          <w:color w:val="000000"/>
          <w:sz w:val="52"/>
          <w:szCs w:val="52"/>
        </w:rPr>
      </w:pPr>
    </w:p>
    <w:p w14:paraId="3994A846">
      <w:pPr>
        <w:pStyle w:val="7"/>
        <w:overflowPunct w:val="0"/>
        <w:autoSpaceDE w:val="0"/>
        <w:adjustRightInd w:val="0"/>
        <w:snapToGrid w:val="0"/>
        <w:spacing w:before="0" w:beforeAutospacing="0" w:after="0" w:afterAutospacing="0" w:line="660" w:lineRule="exact"/>
        <w:jc w:val="center"/>
        <w:rPr>
          <w:rFonts w:ascii="Times New Roman" w:hAnsi="Times New Roman" w:eastAsia="方正小标宋简体" w:cs="Calibri"/>
          <w:color w:val="000000"/>
          <w:sz w:val="52"/>
          <w:szCs w:val="52"/>
        </w:rPr>
      </w:pPr>
      <w:r>
        <w:rPr>
          <w:rFonts w:ascii="Times New Roman" w:hAnsi="Times New Roman" w:eastAsia="方正小标宋简体" w:cs="Calibri"/>
          <w:color w:val="000000"/>
          <w:sz w:val="52"/>
          <w:szCs w:val="52"/>
        </w:rPr>
        <w:t>湖南省推动营商环境优化提升</w:t>
      </w:r>
    </w:p>
    <w:p w14:paraId="1C6A8E99">
      <w:pPr>
        <w:pStyle w:val="7"/>
        <w:overflowPunct w:val="0"/>
        <w:autoSpaceDE w:val="0"/>
        <w:adjustRightInd w:val="0"/>
        <w:snapToGrid w:val="0"/>
        <w:spacing w:before="0" w:beforeAutospacing="0" w:after="0" w:afterAutospacing="0" w:line="660" w:lineRule="exact"/>
        <w:jc w:val="center"/>
        <w:rPr>
          <w:rFonts w:ascii="Times New Roman" w:hAnsi="Times New Roman" w:eastAsia="方正小标宋简体"/>
          <w:color w:val="000000"/>
          <w:sz w:val="52"/>
          <w:szCs w:val="52"/>
        </w:rPr>
      </w:pPr>
      <w:r>
        <w:rPr>
          <w:rFonts w:ascii="Times New Roman" w:hAnsi="Times New Roman" w:eastAsia="方正小标宋简体" w:cs="Calibri"/>
          <w:color w:val="000000"/>
          <w:sz w:val="52"/>
          <w:szCs w:val="52"/>
        </w:rPr>
        <w:t>若干举措</w:t>
      </w:r>
    </w:p>
    <w:p w14:paraId="67D2E8F8">
      <w:pPr>
        <w:overflowPunct w:val="0"/>
        <w:autoSpaceDE w:val="0"/>
        <w:autoSpaceDN w:val="0"/>
        <w:adjustRightInd w:val="0"/>
        <w:snapToGrid w:val="0"/>
        <w:spacing w:line="660" w:lineRule="exact"/>
        <w:ind w:firstLine="880" w:firstLineChars="200"/>
        <w:rPr>
          <w:rFonts w:ascii="仿宋" w:hAnsi="仿宋" w:eastAsia="仿宋"/>
          <w:bCs/>
          <w:color w:val="000000"/>
          <w:sz w:val="44"/>
          <w:szCs w:val="44"/>
        </w:rPr>
      </w:pPr>
    </w:p>
    <w:p w14:paraId="3F86EF87">
      <w:pPr>
        <w:overflowPunct w:val="0"/>
        <w:adjustRightInd w:val="0"/>
        <w:snapToGrid w:val="0"/>
        <w:spacing w:line="660" w:lineRule="exact"/>
        <w:ind w:firstLine="880" w:firstLineChars="200"/>
        <w:rPr>
          <w:rStyle w:val="13"/>
          <w:rFonts w:ascii="仿宋" w:hAnsi="仿宋" w:eastAsia="仿宋_GB2312"/>
          <w:bCs/>
          <w:color w:val="000000"/>
          <w:sz w:val="44"/>
          <w:szCs w:val="44"/>
        </w:rPr>
      </w:pPr>
      <w:r>
        <w:rPr>
          <w:rStyle w:val="13"/>
          <w:rFonts w:ascii="仿宋" w:hAnsi="仿宋" w:eastAsia="仿宋_GB2312"/>
          <w:bCs/>
          <w:color w:val="000000"/>
          <w:sz w:val="44"/>
          <w:szCs w:val="44"/>
        </w:rPr>
        <w:t>为深入贯彻落实党中央、国务院关于优化营商环境的决策部署，持续打造“三化”一流营商环境，</w:t>
      </w:r>
      <w:r>
        <w:rPr>
          <w:rStyle w:val="13"/>
          <w:rFonts w:hint="eastAsia" w:ascii="仿宋" w:hAnsi="仿宋" w:eastAsia="仿宋_GB2312"/>
          <w:bCs/>
          <w:color w:val="000000"/>
          <w:sz w:val="44"/>
          <w:szCs w:val="44"/>
        </w:rPr>
        <w:t>经省委、省人民政府同意，</w:t>
      </w:r>
      <w:r>
        <w:rPr>
          <w:rStyle w:val="13"/>
          <w:rFonts w:ascii="仿宋" w:hAnsi="仿宋" w:eastAsia="仿宋_GB2312"/>
          <w:bCs/>
          <w:color w:val="000000"/>
          <w:sz w:val="44"/>
          <w:szCs w:val="44"/>
        </w:rPr>
        <w:t>制定以下举措。</w:t>
      </w:r>
    </w:p>
    <w:p w14:paraId="4BD79ED8">
      <w:pPr>
        <w:overflowPunct w:val="0"/>
        <w:autoSpaceDE w:val="0"/>
        <w:autoSpaceDN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一、</w:t>
      </w:r>
      <w:r>
        <w:rPr>
          <w:rFonts w:hint="eastAsia" w:ascii="黑体" w:hAnsi="黑体" w:eastAsia="黑体"/>
          <w:bCs/>
          <w:color w:val="000000"/>
          <w:sz w:val="44"/>
          <w:szCs w:val="44"/>
        </w:rPr>
        <w:t>加强惠企政策宣传解读</w:t>
      </w:r>
      <w:r>
        <w:rPr>
          <w:rFonts w:ascii="黑体" w:hAnsi="黑体" w:eastAsia="黑体"/>
          <w:bCs/>
          <w:color w:val="000000"/>
          <w:sz w:val="44"/>
          <w:szCs w:val="44"/>
        </w:rPr>
        <w:t>。</w:t>
      </w:r>
      <w:r>
        <w:rPr>
          <w:rStyle w:val="13"/>
          <w:rFonts w:hint="eastAsia" w:ascii="仿宋" w:hAnsi="仿宋" w:eastAsia="仿宋_GB2312"/>
          <w:bCs/>
          <w:color w:val="000000"/>
          <w:sz w:val="44"/>
          <w:szCs w:val="44"/>
        </w:rPr>
        <w:t>在“湘易办”和省政府门户网站</w:t>
      </w:r>
      <w:r>
        <w:rPr>
          <w:rStyle w:val="13"/>
          <w:rFonts w:ascii="仿宋" w:hAnsi="仿宋" w:eastAsia="仿宋_GB2312"/>
          <w:bCs/>
          <w:color w:val="000000"/>
          <w:sz w:val="44"/>
          <w:szCs w:val="44"/>
        </w:rPr>
        <w:t>“政企通”</w:t>
      </w:r>
      <w:r>
        <w:rPr>
          <w:rStyle w:val="13"/>
          <w:rFonts w:hint="eastAsia" w:ascii="仿宋" w:hAnsi="仿宋" w:eastAsia="仿宋_GB2312"/>
          <w:bCs/>
          <w:color w:val="000000"/>
          <w:sz w:val="44"/>
          <w:szCs w:val="44"/>
        </w:rPr>
        <w:t>专栏建立湖南省</w:t>
      </w:r>
      <w:r>
        <w:rPr>
          <w:rStyle w:val="13"/>
          <w:rFonts w:ascii="仿宋" w:hAnsi="仿宋" w:eastAsia="仿宋_GB2312"/>
          <w:bCs/>
          <w:color w:val="000000"/>
          <w:sz w:val="44"/>
          <w:szCs w:val="44"/>
        </w:rPr>
        <w:t>惠企政策集中发布平台，省直相关部门（含中央在湘单位，下同）出台相关惠企政策</w:t>
      </w:r>
      <w:r>
        <w:rPr>
          <w:rStyle w:val="13"/>
          <w:rFonts w:hint="eastAsia" w:ascii="仿宋" w:hAnsi="仿宋" w:eastAsia="仿宋_GB2312"/>
          <w:bCs/>
          <w:color w:val="000000"/>
          <w:sz w:val="44"/>
          <w:szCs w:val="44"/>
        </w:rPr>
        <w:t>的</w:t>
      </w:r>
      <w:r>
        <w:rPr>
          <w:rStyle w:val="13"/>
          <w:rFonts w:ascii="仿宋" w:hAnsi="仿宋" w:eastAsia="仿宋_GB2312"/>
          <w:bCs/>
          <w:color w:val="000000"/>
          <w:sz w:val="44"/>
          <w:szCs w:val="44"/>
        </w:rPr>
        <w:t>（含存量政策继续实施、调整），</w:t>
      </w:r>
      <w:r>
        <w:rPr>
          <w:rStyle w:val="13"/>
          <w:rFonts w:hint="eastAsia" w:ascii="仿宋" w:hAnsi="仿宋" w:eastAsia="仿宋_GB2312"/>
          <w:bCs/>
          <w:color w:val="000000"/>
          <w:sz w:val="44"/>
          <w:szCs w:val="44"/>
        </w:rPr>
        <w:t>需在</w:t>
      </w:r>
      <w:r>
        <w:rPr>
          <w:rStyle w:val="13"/>
          <w:rFonts w:ascii="仿宋" w:hAnsi="仿宋" w:eastAsia="仿宋_GB2312"/>
          <w:bCs/>
          <w:color w:val="000000"/>
          <w:sz w:val="44"/>
          <w:szCs w:val="44"/>
        </w:rPr>
        <w:t>出台后</w:t>
      </w:r>
      <w:r>
        <w:rPr>
          <w:rStyle w:val="13"/>
          <w:rFonts w:eastAsia="仿宋_GB2312"/>
          <w:bCs/>
          <w:color w:val="000000"/>
          <w:sz w:val="44"/>
          <w:szCs w:val="44"/>
        </w:rPr>
        <w:t>3</w:t>
      </w:r>
      <w:r>
        <w:rPr>
          <w:rStyle w:val="13"/>
          <w:rFonts w:ascii="仿宋" w:hAnsi="仿宋" w:eastAsia="仿宋_GB2312"/>
          <w:bCs/>
          <w:color w:val="000000"/>
          <w:sz w:val="44"/>
          <w:szCs w:val="44"/>
        </w:rPr>
        <w:t>个工作日内完成支持对象、实施范围、额度标准等要素提炼，将政策全文、解读、标注、拆解等信息</w:t>
      </w:r>
      <w:r>
        <w:rPr>
          <w:rStyle w:val="13"/>
          <w:rFonts w:hint="eastAsia" w:ascii="仿宋" w:hAnsi="仿宋" w:eastAsia="仿宋_GB2312"/>
          <w:bCs/>
          <w:color w:val="000000"/>
          <w:sz w:val="44"/>
          <w:szCs w:val="44"/>
        </w:rPr>
        <w:t>通过平台集中发布，并</w:t>
      </w:r>
      <w:r>
        <w:rPr>
          <w:rStyle w:val="13"/>
          <w:rFonts w:ascii="仿宋" w:hAnsi="仿宋" w:eastAsia="仿宋_GB2312"/>
          <w:bCs/>
          <w:color w:val="000000"/>
          <w:sz w:val="44"/>
          <w:szCs w:val="44"/>
        </w:rPr>
        <w:t>共享至“湖南营商网”。</w:t>
      </w:r>
      <w:r>
        <w:rPr>
          <w:rStyle w:val="13"/>
          <w:rFonts w:hint="eastAsia" w:ascii="仿宋" w:hAnsi="仿宋" w:eastAsia="仿宋_GB2312"/>
          <w:bCs/>
          <w:color w:val="000000"/>
          <w:sz w:val="44"/>
          <w:szCs w:val="44"/>
        </w:rPr>
        <w:t>依托政府网站、广播电视和官方公众号、视频号等媒介，面向企业建立惠企政策分层分类宣传培训</w:t>
      </w:r>
      <w:r>
        <w:rPr>
          <w:rStyle w:val="13"/>
          <w:rFonts w:ascii="仿宋" w:hAnsi="仿宋" w:eastAsia="仿宋_GB2312"/>
          <w:bCs/>
          <w:color w:val="000000"/>
          <w:sz w:val="44"/>
          <w:szCs w:val="44"/>
        </w:rPr>
        <w:t>体系</w:t>
      </w:r>
      <w:r>
        <w:rPr>
          <w:rStyle w:val="13"/>
          <w:rFonts w:hint="eastAsia" w:ascii="仿宋" w:hAnsi="仿宋" w:eastAsia="仿宋_GB2312"/>
          <w:bCs/>
          <w:color w:val="000000"/>
          <w:sz w:val="44"/>
          <w:szCs w:val="44"/>
        </w:rPr>
        <w:t>。</w:t>
      </w:r>
      <w:r>
        <w:rPr>
          <w:rFonts w:ascii="楷体" w:hAnsi="楷体" w:eastAsia="楷体"/>
          <w:bCs/>
          <w:color w:val="000000"/>
          <w:sz w:val="44"/>
          <w:szCs w:val="44"/>
        </w:rPr>
        <w:t>（责任单位：省工业和信息化厅、省数据局、惠企政策制定单位，各市州人民政府。以下均需各市州人民政府落实，不再一一列出）</w:t>
      </w:r>
    </w:p>
    <w:p w14:paraId="46D34956">
      <w:pPr>
        <w:overflowPunct w:val="0"/>
        <w:autoSpaceDE w:val="0"/>
        <w:autoSpaceDN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二、推行</w:t>
      </w:r>
      <w:r>
        <w:rPr>
          <w:rFonts w:hint="eastAsia" w:ascii="黑体" w:hAnsi="黑体" w:eastAsia="黑体"/>
          <w:bCs/>
          <w:color w:val="000000"/>
          <w:sz w:val="44"/>
          <w:szCs w:val="44"/>
        </w:rPr>
        <w:t>惠企政策</w:t>
      </w:r>
      <w:r>
        <w:rPr>
          <w:rFonts w:ascii="黑体" w:hAnsi="黑体" w:eastAsia="黑体"/>
          <w:bCs/>
          <w:color w:val="000000"/>
          <w:sz w:val="44"/>
          <w:szCs w:val="44"/>
        </w:rPr>
        <w:t>免申即享。</w:t>
      </w:r>
      <w:r>
        <w:rPr>
          <w:rStyle w:val="13"/>
          <w:rFonts w:ascii="仿宋" w:hAnsi="仿宋" w:eastAsia="仿宋_GB2312"/>
          <w:bCs/>
          <w:color w:val="000000"/>
          <w:sz w:val="44"/>
          <w:szCs w:val="44"/>
        </w:rPr>
        <w:t>围绕资金奖补、融资贴息、税费减免（缓征缓缴）、资质荣誉、人才、稳岗就业等领域，每个省直相关部门在</w:t>
      </w:r>
      <w:r>
        <w:rPr>
          <w:rStyle w:val="13"/>
          <w:rFonts w:eastAsia="仿宋_GB2312"/>
          <w:bCs/>
          <w:color w:val="000000"/>
          <w:sz w:val="44"/>
          <w:szCs w:val="44"/>
        </w:rPr>
        <w:t>2025</w:t>
      </w:r>
      <w:r>
        <w:rPr>
          <w:rStyle w:val="13"/>
          <w:rFonts w:ascii="仿宋" w:hAnsi="仿宋" w:eastAsia="仿宋_GB2312"/>
          <w:bCs/>
          <w:color w:val="000000"/>
          <w:sz w:val="44"/>
          <w:szCs w:val="44"/>
        </w:rPr>
        <w:t>年</w:t>
      </w:r>
      <w:r>
        <w:rPr>
          <w:rStyle w:val="13"/>
          <w:rFonts w:hint="eastAsia" w:eastAsia="仿宋_GB2312"/>
          <w:bCs/>
          <w:color w:val="000000"/>
          <w:sz w:val="44"/>
          <w:szCs w:val="44"/>
        </w:rPr>
        <w:t>7</w:t>
      </w:r>
      <w:r>
        <w:rPr>
          <w:rStyle w:val="13"/>
          <w:rFonts w:ascii="仿宋" w:hAnsi="仿宋" w:eastAsia="仿宋_GB2312"/>
          <w:bCs/>
          <w:color w:val="000000"/>
          <w:sz w:val="44"/>
          <w:szCs w:val="44"/>
        </w:rPr>
        <w:t>月底前至少提出</w:t>
      </w:r>
      <w:r>
        <w:rPr>
          <w:rStyle w:val="13"/>
          <w:rFonts w:eastAsia="仿宋_GB2312"/>
          <w:bCs/>
          <w:color w:val="000000"/>
          <w:sz w:val="44"/>
          <w:szCs w:val="44"/>
        </w:rPr>
        <w:t>1</w:t>
      </w:r>
      <w:r>
        <w:rPr>
          <w:rStyle w:val="13"/>
          <w:rFonts w:ascii="仿宋" w:hAnsi="仿宋" w:eastAsia="仿宋_GB2312"/>
          <w:bCs/>
          <w:color w:val="000000"/>
          <w:sz w:val="44"/>
          <w:szCs w:val="44"/>
        </w:rPr>
        <w:t>项免申即享事项，纳入“湘易办”免申即享专区模块，按照“应进尽进”原则，形成惠企政策免申即享清单（含对继续生效的存量政策有关申报条件进行量化调整后可免申请的事项），并</w:t>
      </w:r>
      <w:r>
        <w:rPr>
          <w:rStyle w:val="13"/>
          <w:rFonts w:hint="eastAsia" w:ascii="仿宋" w:hAnsi="仿宋" w:eastAsia="仿宋_GB2312"/>
          <w:bCs/>
          <w:color w:val="000000"/>
          <w:sz w:val="44"/>
          <w:szCs w:val="44"/>
        </w:rPr>
        <w:t>实行</w:t>
      </w:r>
      <w:r>
        <w:rPr>
          <w:rStyle w:val="13"/>
          <w:rFonts w:ascii="仿宋" w:hAnsi="仿宋" w:eastAsia="仿宋_GB2312"/>
          <w:bCs/>
          <w:color w:val="000000"/>
          <w:sz w:val="44"/>
          <w:szCs w:val="44"/>
        </w:rPr>
        <w:t>动态调整更新。原则上普惠性政策全面纳入免申即享服务范围</w:t>
      </w:r>
      <w:r>
        <w:rPr>
          <w:rStyle w:val="13"/>
          <w:rFonts w:hint="eastAsia" w:ascii="仿宋" w:hAnsi="仿宋" w:eastAsia="仿宋_GB2312"/>
          <w:bCs/>
          <w:color w:val="000000"/>
          <w:sz w:val="44"/>
          <w:szCs w:val="44"/>
        </w:rPr>
        <w:t>、</w:t>
      </w:r>
      <w:r>
        <w:rPr>
          <w:rStyle w:val="13"/>
          <w:rFonts w:ascii="仿宋" w:hAnsi="仿宋" w:eastAsia="仿宋_GB2312"/>
          <w:bCs/>
          <w:color w:val="000000"/>
          <w:sz w:val="44"/>
          <w:szCs w:val="44"/>
        </w:rPr>
        <w:t>当年政策当年兑现。</w:t>
      </w:r>
      <w:r>
        <w:rPr>
          <w:rFonts w:ascii="楷体" w:hAnsi="楷体" w:eastAsia="楷体"/>
          <w:bCs/>
          <w:color w:val="000000"/>
          <w:sz w:val="44"/>
          <w:szCs w:val="44"/>
        </w:rPr>
        <w:t>（责任单位：惠企政策制定单位、省数据局）</w:t>
      </w:r>
    </w:p>
    <w:p w14:paraId="0E427FA5">
      <w:pPr>
        <w:overflowPunct w:val="0"/>
        <w:autoSpaceDE w:val="0"/>
        <w:autoSpaceDN w:val="0"/>
        <w:adjustRightInd w:val="0"/>
        <w:snapToGrid w:val="0"/>
        <w:spacing w:line="660" w:lineRule="exact"/>
        <w:ind w:firstLine="872" w:firstLineChars="200"/>
        <w:rPr>
          <w:rFonts w:ascii="楷体" w:hAnsi="楷体" w:eastAsia="楷体"/>
          <w:bCs/>
          <w:color w:val="000000"/>
          <w:spacing w:val="-2"/>
          <w:sz w:val="44"/>
          <w:szCs w:val="44"/>
        </w:rPr>
      </w:pPr>
      <w:r>
        <w:rPr>
          <w:rFonts w:ascii="黑体" w:hAnsi="黑体" w:eastAsia="黑体"/>
          <w:bCs/>
          <w:color w:val="000000"/>
          <w:spacing w:val="-2"/>
          <w:sz w:val="44"/>
          <w:szCs w:val="44"/>
        </w:rPr>
        <w:t>三、</w:t>
      </w:r>
      <w:r>
        <w:rPr>
          <w:rFonts w:hint="eastAsia" w:ascii="黑体" w:hAnsi="黑体" w:eastAsia="黑体"/>
          <w:bCs/>
          <w:color w:val="000000"/>
          <w:spacing w:val="-2"/>
          <w:sz w:val="44"/>
          <w:szCs w:val="44"/>
        </w:rPr>
        <w:t>促进惠企政策</w:t>
      </w:r>
      <w:r>
        <w:rPr>
          <w:rFonts w:ascii="黑体" w:hAnsi="黑体" w:eastAsia="黑体"/>
          <w:bCs/>
          <w:color w:val="000000"/>
          <w:spacing w:val="-2"/>
          <w:sz w:val="44"/>
          <w:szCs w:val="44"/>
        </w:rPr>
        <w:t>直达快享。</w:t>
      </w:r>
      <w:r>
        <w:rPr>
          <w:rStyle w:val="13"/>
          <w:rFonts w:ascii="仿宋" w:hAnsi="仿宋" w:eastAsia="仿宋_GB2312"/>
          <w:bCs/>
          <w:color w:val="000000"/>
          <w:spacing w:val="-2"/>
          <w:sz w:val="44"/>
          <w:szCs w:val="44"/>
        </w:rPr>
        <w:t>加强</w:t>
      </w:r>
      <w:r>
        <w:rPr>
          <w:rStyle w:val="13"/>
          <w:rFonts w:hint="eastAsia" w:ascii="仿宋" w:hAnsi="仿宋" w:eastAsia="仿宋_GB2312"/>
          <w:bCs/>
          <w:color w:val="000000"/>
          <w:spacing w:val="-2"/>
          <w:sz w:val="44"/>
          <w:szCs w:val="44"/>
        </w:rPr>
        <w:t>惠企政策</w:t>
      </w:r>
      <w:r>
        <w:rPr>
          <w:rStyle w:val="13"/>
          <w:rFonts w:ascii="仿宋" w:hAnsi="仿宋" w:eastAsia="仿宋_GB2312"/>
          <w:bCs/>
          <w:color w:val="000000"/>
          <w:spacing w:val="-2"/>
          <w:sz w:val="44"/>
          <w:szCs w:val="44"/>
        </w:rPr>
        <w:t>主管部门</w:t>
      </w:r>
      <w:r>
        <w:rPr>
          <w:rStyle w:val="13"/>
          <w:rFonts w:hint="eastAsia" w:ascii="仿宋" w:hAnsi="仿宋" w:eastAsia="仿宋_GB2312"/>
          <w:bCs/>
          <w:color w:val="000000"/>
          <w:spacing w:val="-2"/>
          <w:sz w:val="44"/>
          <w:szCs w:val="44"/>
        </w:rPr>
        <w:t>政策申领</w:t>
      </w:r>
      <w:r>
        <w:rPr>
          <w:rStyle w:val="13"/>
          <w:rFonts w:ascii="仿宋" w:hAnsi="仿宋" w:eastAsia="仿宋_GB2312"/>
          <w:bCs/>
          <w:color w:val="000000"/>
          <w:spacing w:val="-2"/>
          <w:sz w:val="44"/>
          <w:szCs w:val="44"/>
        </w:rPr>
        <w:t>审核系统与“湘易办”政策兑现系统及财政预算管理一体化系统深度对接融合，探索惠企项目申报在政策兑现系统统一取码、一码贯通。建立涉企奖补资金拨付全过程监督管理机制，严肃查处各级财政留存、拖延、挪用应拨付企业资金</w:t>
      </w:r>
      <w:r>
        <w:rPr>
          <w:rStyle w:val="13"/>
          <w:rFonts w:hint="eastAsia" w:ascii="仿宋" w:hAnsi="仿宋" w:eastAsia="仿宋_GB2312"/>
          <w:bCs/>
          <w:color w:val="000000"/>
          <w:spacing w:val="-2"/>
          <w:sz w:val="44"/>
          <w:szCs w:val="44"/>
        </w:rPr>
        <w:t>行为</w:t>
      </w:r>
      <w:r>
        <w:rPr>
          <w:rStyle w:val="13"/>
          <w:rFonts w:ascii="仿宋" w:hAnsi="仿宋" w:eastAsia="仿宋_GB2312"/>
          <w:bCs/>
          <w:color w:val="000000"/>
          <w:spacing w:val="-2"/>
          <w:sz w:val="44"/>
          <w:szCs w:val="44"/>
        </w:rPr>
        <w:t>。</w:t>
      </w:r>
      <w:r>
        <w:rPr>
          <w:rFonts w:ascii="楷体" w:hAnsi="楷体" w:eastAsia="楷体"/>
          <w:bCs/>
          <w:color w:val="000000"/>
          <w:spacing w:val="-2"/>
          <w:sz w:val="44"/>
          <w:szCs w:val="44"/>
        </w:rPr>
        <w:t>（责任单位：惠企政策制定单位、省财政厅、省数据局）</w:t>
      </w:r>
    </w:p>
    <w:p w14:paraId="1AE7336D">
      <w:pPr>
        <w:overflowPunct w:val="0"/>
        <w:autoSpaceDE w:val="0"/>
        <w:autoSpaceDN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四、</w:t>
      </w:r>
      <w:r>
        <w:rPr>
          <w:rFonts w:hint="eastAsia" w:ascii="黑体" w:hAnsi="黑体" w:eastAsia="黑体"/>
          <w:bCs/>
          <w:color w:val="000000"/>
          <w:sz w:val="44"/>
          <w:szCs w:val="44"/>
        </w:rPr>
        <w:t>提升惠企政策申报透明度</w:t>
      </w:r>
      <w:r>
        <w:rPr>
          <w:rFonts w:ascii="黑体" w:hAnsi="黑体" w:eastAsia="黑体"/>
          <w:bCs/>
          <w:color w:val="000000"/>
          <w:sz w:val="44"/>
          <w:szCs w:val="44"/>
        </w:rPr>
        <w:t>。</w:t>
      </w:r>
      <w:r>
        <w:rPr>
          <w:rStyle w:val="13"/>
          <w:rFonts w:ascii="仿宋" w:hAnsi="仿宋" w:eastAsia="仿宋_GB2312"/>
          <w:bCs/>
          <w:color w:val="000000"/>
          <w:sz w:val="44"/>
          <w:szCs w:val="44"/>
        </w:rPr>
        <w:t>申报类惠企政策应当简化申报条件、流程，除涉密项目外，申报进度、申报结果在“湘易办”政策兑现系统实时展示，对未申报成功的同步反馈原因，实现阳光运行。</w:t>
      </w:r>
      <w:r>
        <w:rPr>
          <w:rFonts w:ascii="楷体" w:hAnsi="楷体" w:eastAsia="楷体"/>
          <w:bCs/>
          <w:color w:val="000000"/>
          <w:sz w:val="44"/>
          <w:szCs w:val="44"/>
        </w:rPr>
        <w:t>（责任单位：惠企政策制定单位、省数据局、省财政厅）</w:t>
      </w:r>
    </w:p>
    <w:p w14:paraId="4A07EEA8">
      <w:pPr>
        <w:overflowPunct w:val="0"/>
        <w:autoSpaceDE w:val="0"/>
        <w:autoSpaceDN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五、全面推广</w:t>
      </w:r>
      <w:r>
        <w:rPr>
          <w:rFonts w:hint="eastAsia" w:ascii="黑体" w:hAnsi="黑体" w:eastAsia="黑体"/>
          <w:bCs/>
          <w:color w:val="000000"/>
          <w:sz w:val="44"/>
          <w:szCs w:val="44"/>
        </w:rPr>
        <w:t>“</w:t>
      </w:r>
      <w:r>
        <w:rPr>
          <w:rFonts w:ascii="黑体" w:hAnsi="黑体" w:eastAsia="黑体"/>
          <w:bCs/>
          <w:color w:val="000000"/>
          <w:sz w:val="44"/>
          <w:szCs w:val="44"/>
        </w:rPr>
        <w:t>机器管招投标</w:t>
      </w:r>
      <w:r>
        <w:rPr>
          <w:rFonts w:hint="eastAsia" w:ascii="黑体" w:hAnsi="黑体" w:eastAsia="黑体"/>
          <w:bCs/>
          <w:color w:val="000000"/>
          <w:sz w:val="44"/>
          <w:szCs w:val="44"/>
        </w:rPr>
        <w:t>”</w:t>
      </w:r>
      <w:r>
        <w:rPr>
          <w:rFonts w:ascii="黑体" w:hAnsi="黑体" w:eastAsia="黑体"/>
          <w:bCs/>
          <w:color w:val="000000"/>
          <w:sz w:val="44"/>
          <w:szCs w:val="44"/>
        </w:rPr>
        <w:t>。</w:t>
      </w:r>
      <w:r>
        <w:rPr>
          <w:rStyle w:val="13"/>
          <w:rFonts w:ascii="仿宋" w:hAnsi="仿宋" w:eastAsia="仿宋_GB2312"/>
          <w:bCs/>
          <w:color w:val="000000"/>
          <w:sz w:val="44"/>
          <w:szCs w:val="44"/>
        </w:rPr>
        <w:t>推行机器管范本、管招标、管评标、管监管组织“四管”模式</w:t>
      </w:r>
      <w:r>
        <w:rPr>
          <w:rStyle w:val="13"/>
          <w:rFonts w:hint="eastAsia" w:ascii="仿宋" w:hAnsi="仿宋" w:eastAsia="仿宋_GB2312"/>
          <w:bCs/>
          <w:color w:val="000000"/>
          <w:sz w:val="44"/>
          <w:szCs w:val="44"/>
        </w:rPr>
        <w:t>。</w:t>
      </w:r>
      <w:r>
        <w:rPr>
          <w:rStyle w:val="13"/>
          <w:rFonts w:ascii="仿宋" w:hAnsi="仿宋" w:eastAsia="仿宋_GB2312"/>
          <w:bCs/>
          <w:color w:val="000000"/>
          <w:sz w:val="44"/>
          <w:szCs w:val="44"/>
        </w:rPr>
        <w:t>建立招标投标活动综合监管与行业监管相结合的协同机制，优化电子招标投标平台体系，实行“省建市用”。</w:t>
      </w:r>
      <w:r>
        <w:rPr>
          <w:rFonts w:ascii="楷体" w:hAnsi="楷体" w:eastAsia="楷体"/>
          <w:bCs/>
          <w:color w:val="000000"/>
          <w:sz w:val="44"/>
          <w:szCs w:val="44"/>
        </w:rPr>
        <w:t>（责任单位：省发展改革委、省公共资源交易中心、各行业主管部门）</w:t>
      </w:r>
    </w:p>
    <w:p w14:paraId="79B3970D">
      <w:pPr>
        <w:overflowPunct w:val="0"/>
        <w:autoSpaceDE w:val="0"/>
        <w:autoSpaceDN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六、</w:t>
      </w:r>
      <w:r>
        <w:rPr>
          <w:rFonts w:hint="eastAsia" w:ascii="黑体" w:hAnsi="黑体" w:eastAsia="黑体"/>
          <w:bCs/>
          <w:color w:val="000000"/>
          <w:sz w:val="44"/>
          <w:szCs w:val="44"/>
        </w:rPr>
        <w:t>加强招投标全链条</w:t>
      </w:r>
      <w:r>
        <w:rPr>
          <w:rFonts w:ascii="黑体" w:hAnsi="黑体" w:eastAsia="黑体"/>
          <w:bCs/>
          <w:color w:val="000000"/>
          <w:sz w:val="44"/>
          <w:szCs w:val="44"/>
        </w:rPr>
        <w:t>监管。</w:t>
      </w:r>
      <w:r>
        <w:rPr>
          <w:rStyle w:val="13"/>
          <w:rFonts w:ascii="仿宋" w:hAnsi="仿宋" w:eastAsia="仿宋_GB2312"/>
          <w:bCs/>
          <w:color w:val="000000"/>
          <w:sz w:val="44"/>
          <w:szCs w:val="44"/>
        </w:rPr>
        <w:t>制定工程建设项目招标投标信用评价管理办法，建立相应指标体系，对失信招标投标主体进行联合惩戒。制定招标投标后评估有关管理制度，利用大数据智能预警等科技手段，强化事前、事中、事后全链条监管。</w:t>
      </w:r>
      <w:r>
        <w:rPr>
          <w:rFonts w:ascii="楷体" w:hAnsi="楷体" w:eastAsia="楷体"/>
          <w:bCs/>
          <w:color w:val="000000"/>
          <w:sz w:val="44"/>
          <w:szCs w:val="44"/>
        </w:rPr>
        <w:t>（责任单位：省发展改革委、省公共资源交易中心、各行业主管部门）</w:t>
      </w:r>
    </w:p>
    <w:p w14:paraId="21DE7750">
      <w:pPr>
        <w:overflowPunct w:val="0"/>
        <w:autoSpaceDE w:val="0"/>
        <w:autoSpaceDN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七、全面推广保函代替保证金</w:t>
      </w:r>
      <w:r>
        <w:rPr>
          <w:rFonts w:hint="eastAsia" w:ascii="黑体" w:hAnsi="黑体" w:eastAsia="黑体"/>
          <w:bCs/>
          <w:color w:val="000000"/>
          <w:sz w:val="44"/>
          <w:szCs w:val="44"/>
        </w:rPr>
        <w:t>。</w:t>
      </w:r>
      <w:r>
        <w:rPr>
          <w:rStyle w:val="13"/>
          <w:rFonts w:ascii="仿宋" w:hAnsi="仿宋" w:eastAsia="仿宋_GB2312"/>
          <w:bCs/>
          <w:color w:val="000000"/>
          <w:sz w:val="44"/>
          <w:szCs w:val="44"/>
        </w:rPr>
        <w:t>上线电子保函接收系统，全面接收银行、保险、融资担保等机构开具的保函，实现一次接入、全省通用。实现</w:t>
      </w:r>
      <w:r>
        <w:rPr>
          <w:rStyle w:val="13"/>
          <w:rFonts w:eastAsia="仿宋_GB2312"/>
          <w:bCs/>
          <w:color w:val="000000"/>
          <w:sz w:val="44"/>
          <w:szCs w:val="44"/>
        </w:rPr>
        <w:t>30</w:t>
      </w:r>
      <w:r>
        <w:rPr>
          <w:rStyle w:val="13"/>
          <w:rFonts w:ascii="仿宋" w:hAnsi="仿宋" w:eastAsia="仿宋_GB2312"/>
          <w:bCs/>
          <w:color w:val="000000"/>
          <w:sz w:val="44"/>
          <w:szCs w:val="44"/>
        </w:rPr>
        <w:t>个以上符合标准的移动数字证书（</w:t>
      </w:r>
      <w:r>
        <w:rPr>
          <w:rStyle w:val="13"/>
          <w:rFonts w:eastAsia="仿宋_GB2312"/>
          <w:bCs/>
          <w:color w:val="000000"/>
          <w:sz w:val="44"/>
          <w:szCs w:val="44"/>
        </w:rPr>
        <w:t>CA</w:t>
      </w:r>
      <w:r>
        <w:rPr>
          <w:rStyle w:val="13"/>
          <w:rFonts w:ascii="仿宋" w:hAnsi="仿宋" w:eastAsia="仿宋_GB2312"/>
          <w:bCs/>
          <w:color w:val="000000"/>
          <w:sz w:val="44"/>
          <w:szCs w:val="44"/>
        </w:rPr>
        <w:t>）和相应符合国家标准的电子印章全国互认。</w:t>
      </w:r>
      <w:r>
        <w:rPr>
          <w:rFonts w:ascii="楷体" w:hAnsi="楷体" w:eastAsia="楷体"/>
          <w:bCs/>
          <w:color w:val="000000"/>
          <w:sz w:val="44"/>
          <w:szCs w:val="44"/>
        </w:rPr>
        <w:t>（责任单位：省发展改革委、省公共资源交易中心、各行业主管部门）</w:t>
      </w:r>
    </w:p>
    <w:p w14:paraId="630B7588">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八、降低</w:t>
      </w:r>
      <w:r>
        <w:rPr>
          <w:rFonts w:hint="eastAsia" w:ascii="黑体" w:hAnsi="黑体" w:eastAsia="黑体"/>
          <w:bCs/>
          <w:color w:val="000000"/>
          <w:sz w:val="44"/>
          <w:szCs w:val="44"/>
        </w:rPr>
        <w:t>物流</w:t>
      </w:r>
      <w:r>
        <w:rPr>
          <w:rFonts w:ascii="黑体" w:hAnsi="黑体" w:eastAsia="黑体"/>
          <w:bCs/>
          <w:color w:val="000000"/>
          <w:sz w:val="44"/>
          <w:szCs w:val="44"/>
        </w:rPr>
        <w:t>费用。</w:t>
      </w:r>
      <w:r>
        <w:rPr>
          <w:rStyle w:val="13"/>
          <w:rFonts w:ascii="仿宋" w:hAnsi="仿宋" w:eastAsia="仿宋_GB2312"/>
          <w:bCs/>
          <w:color w:val="000000"/>
          <w:sz w:val="44"/>
          <w:szCs w:val="44"/>
        </w:rPr>
        <w:t>完善高速公路按车型、时段、路段、距离等实施差异化收费机制，探索制定货运车辆同城本地上下免费、低峰时段下调费用、“递远递减”等优惠政策。鼓励市州对往返于城区与货运站场、港口、空港及园区的集装箱运输车辆和厢式货运车辆实行通行费“先扣后返、全额补贴”。实施更为灵活的铁路运价下浮政策，探索优化仓储及设施设备租</w:t>
      </w:r>
      <w:r>
        <w:rPr>
          <w:rStyle w:val="13"/>
          <w:rFonts w:hint="eastAsia" w:ascii="仿宋" w:hAnsi="仿宋" w:eastAsia="仿宋_GB2312"/>
          <w:bCs/>
          <w:color w:val="000000"/>
          <w:sz w:val="44"/>
          <w:szCs w:val="44"/>
        </w:rPr>
        <w:t>用</w:t>
      </w:r>
      <w:r>
        <w:rPr>
          <w:rStyle w:val="13"/>
          <w:rFonts w:ascii="仿宋" w:hAnsi="仿宋" w:eastAsia="仿宋_GB2312"/>
          <w:bCs/>
          <w:color w:val="000000"/>
          <w:sz w:val="44"/>
          <w:szCs w:val="44"/>
        </w:rPr>
        <w:t>占用市场化收费，大力拓展物流总包业务。加快构建水上运输多式联运系统，推动“一票制”全程物流服务。</w:t>
      </w:r>
      <w:r>
        <w:rPr>
          <w:rFonts w:ascii="楷体" w:hAnsi="楷体" w:eastAsia="楷体"/>
          <w:bCs/>
          <w:color w:val="000000"/>
          <w:sz w:val="44"/>
          <w:szCs w:val="44"/>
        </w:rPr>
        <w:t>（责任单位：省交通运输厅、省发展改革委、</w:t>
      </w:r>
      <w:r>
        <w:rPr>
          <w:rFonts w:hint="eastAsia" w:ascii="楷体" w:hAnsi="楷体" w:eastAsia="楷体"/>
          <w:bCs/>
          <w:color w:val="000000"/>
          <w:sz w:val="44"/>
          <w:szCs w:val="44"/>
        </w:rPr>
        <w:t>省</w:t>
      </w:r>
      <w:r>
        <w:rPr>
          <w:rFonts w:ascii="楷体" w:hAnsi="楷体" w:eastAsia="楷体"/>
          <w:bCs/>
          <w:color w:val="000000"/>
          <w:sz w:val="44"/>
          <w:szCs w:val="44"/>
        </w:rPr>
        <w:t>高速集团、广铁集团长沙铁路物流中心、省港航水利集团）</w:t>
      </w:r>
    </w:p>
    <w:p w14:paraId="70765B5B">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九、降低用地成本。</w:t>
      </w:r>
      <w:r>
        <w:rPr>
          <w:rStyle w:val="13"/>
          <w:rFonts w:ascii="仿宋" w:hAnsi="仿宋" w:eastAsia="仿宋_GB2312"/>
          <w:bCs/>
          <w:color w:val="000000"/>
          <w:sz w:val="44"/>
          <w:szCs w:val="44"/>
        </w:rPr>
        <w:t>深化“批供同步”改革，统筹推进涉及多部门和跨层级办理的征地、拆迁、批地、供地、规划设计、办证等事项，推广“交地交证即开工”“标准地+承诺制”“弹性供地”“先租后让、租让结合”等</w:t>
      </w:r>
      <w:r>
        <w:rPr>
          <w:rStyle w:val="13"/>
          <w:rFonts w:hint="eastAsia" w:ascii="仿宋" w:hAnsi="仿宋" w:eastAsia="仿宋_GB2312"/>
          <w:bCs/>
          <w:color w:val="000000"/>
          <w:sz w:val="44"/>
          <w:szCs w:val="44"/>
        </w:rPr>
        <w:t>模式</w:t>
      </w:r>
      <w:r>
        <w:rPr>
          <w:rStyle w:val="13"/>
          <w:rFonts w:ascii="仿宋" w:hAnsi="仿宋" w:eastAsia="仿宋_GB2312"/>
          <w:bCs/>
          <w:color w:val="000000"/>
          <w:sz w:val="44"/>
          <w:szCs w:val="44"/>
        </w:rPr>
        <w:t>。</w:t>
      </w:r>
      <w:r>
        <w:rPr>
          <w:rFonts w:ascii="楷体" w:hAnsi="楷体" w:eastAsia="楷体"/>
          <w:bCs/>
          <w:color w:val="000000"/>
          <w:sz w:val="44"/>
          <w:szCs w:val="44"/>
        </w:rPr>
        <w:t>（责任单位：省自然资源厅等省直相关部门）</w:t>
      </w:r>
    </w:p>
    <w:p w14:paraId="08F5FF19">
      <w:pPr>
        <w:tabs>
          <w:tab w:val="left" w:pos="7350"/>
        </w:tabs>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十、提高融资效能。</w:t>
      </w:r>
      <w:r>
        <w:rPr>
          <w:rStyle w:val="13"/>
          <w:rFonts w:hint="eastAsia" w:ascii="仿宋" w:hAnsi="仿宋" w:eastAsia="仿宋_GB2312"/>
          <w:bCs/>
          <w:color w:val="000000"/>
          <w:sz w:val="44"/>
          <w:szCs w:val="44"/>
        </w:rPr>
        <w:t>积极</w:t>
      </w:r>
      <w:r>
        <w:rPr>
          <w:rStyle w:val="13"/>
          <w:rFonts w:ascii="仿宋" w:hAnsi="仿宋" w:eastAsia="仿宋_GB2312"/>
          <w:bCs/>
          <w:color w:val="000000"/>
          <w:sz w:val="44"/>
          <w:szCs w:val="44"/>
        </w:rPr>
        <w:t>举办各类政银企对接活动，引导全省金融机构</w:t>
      </w:r>
      <w:r>
        <w:rPr>
          <w:rStyle w:val="13"/>
          <w:rFonts w:eastAsia="仿宋_GB2312"/>
          <w:bCs/>
          <w:color w:val="000000"/>
          <w:sz w:val="44"/>
          <w:szCs w:val="44"/>
        </w:rPr>
        <w:t>2025</w:t>
      </w:r>
      <w:r>
        <w:rPr>
          <w:rStyle w:val="13"/>
          <w:rFonts w:ascii="仿宋" w:hAnsi="仿宋" w:eastAsia="仿宋_GB2312"/>
          <w:bCs/>
          <w:color w:val="000000"/>
          <w:sz w:val="44"/>
          <w:szCs w:val="44"/>
        </w:rPr>
        <w:t>年投放知识价值贷款不低于</w:t>
      </w:r>
      <w:r>
        <w:rPr>
          <w:rStyle w:val="13"/>
          <w:rFonts w:eastAsia="仿宋_GB2312"/>
          <w:bCs/>
          <w:color w:val="000000"/>
          <w:sz w:val="44"/>
          <w:szCs w:val="44"/>
        </w:rPr>
        <w:t>230</w:t>
      </w:r>
      <w:r>
        <w:rPr>
          <w:rStyle w:val="13"/>
          <w:rFonts w:ascii="仿宋" w:hAnsi="仿宋" w:eastAsia="仿宋_GB2312"/>
          <w:bCs/>
          <w:color w:val="000000"/>
          <w:sz w:val="44"/>
          <w:szCs w:val="44"/>
        </w:rPr>
        <w:t>亿元、商业价值贷款不低于</w:t>
      </w:r>
      <w:r>
        <w:rPr>
          <w:rStyle w:val="13"/>
          <w:rFonts w:eastAsia="仿宋_GB2312"/>
          <w:bCs/>
          <w:color w:val="000000"/>
          <w:sz w:val="44"/>
          <w:szCs w:val="44"/>
        </w:rPr>
        <w:t>120</w:t>
      </w:r>
      <w:r>
        <w:rPr>
          <w:rStyle w:val="13"/>
          <w:rFonts w:ascii="仿宋" w:hAnsi="仿宋" w:eastAsia="仿宋_GB2312"/>
          <w:bCs/>
          <w:color w:val="000000"/>
          <w:sz w:val="44"/>
          <w:szCs w:val="44"/>
        </w:rPr>
        <w:t>亿元，通过“湘信贷”平台新增授信</w:t>
      </w:r>
      <w:r>
        <w:rPr>
          <w:rStyle w:val="13"/>
          <w:rFonts w:eastAsia="仿宋_GB2312"/>
          <w:bCs/>
          <w:color w:val="000000"/>
          <w:sz w:val="44"/>
          <w:szCs w:val="44"/>
        </w:rPr>
        <w:t>1200</w:t>
      </w:r>
      <w:r>
        <w:rPr>
          <w:rStyle w:val="13"/>
          <w:rFonts w:ascii="仿宋" w:hAnsi="仿宋" w:eastAsia="仿宋_GB2312"/>
          <w:bCs/>
          <w:color w:val="000000"/>
          <w:sz w:val="44"/>
          <w:szCs w:val="44"/>
        </w:rPr>
        <w:t>亿元以上，并推动逐步放量提效。发挥政府性融资担保融资增信主渠道作用，用好贷款贴息、风险补偿政策，引导金融机构加大对企业融资支持力度。拓展流水贷“</w:t>
      </w:r>
      <w:r>
        <w:rPr>
          <w:rStyle w:val="13"/>
          <w:rFonts w:eastAsia="仿宋_GB2312"/>
          <w:bCs/>
          <w:color w:val="000000"/>
          <w:sz w:val="44"/>
          <w:szCs w:val="44"/>
        </w:rPr>
        <w:t>301</w:t>
      </w:r>
      <w:r>
        <w:rPr>
          <w:rStyle w:val="13"/>
          <w:rFonts w:ascii="仿宋" w:hAnsi="仿宋" w:eastAsia="仿宋_GB2312"/>
          <w:bCs/>
          <w:color w:val="000000"/>
          <w:sz w:val="44"/>
          <w:szCs w:val="44"/>
        </w:rPr>
        <w:t>”等贷款模式（</w:t>
      </w:r>
      <w:r>
        <w:rPr>
          <w:rStyle w:val="13"/>
          <w:rFonts w:eastAsia="仿宋_GB2312"/>
          <w:bCs/>
          <w:color w:val="000000"/>
          <w:sz w:val="44"/>
          <w:szCs w:val="44"/>
        </w:rPr>
        <w:t>3</w:t>
      </w:r>
      <w:r>
        <w:rPr>
          <w:rStyle w:val="13"/>
          <w:rFonts w:ascii="仿宋" w:hAnsi="仿宋" w:eastAsia="仿宋_GB2312"/>
          <w:bCs/>
          <w:color w:val="000000"/>
          <w:sz w:val="44"/>
          <w:szCs w:val="44"/>
        </w:rPr>
        <w:t>分钟申请、</w:t>
      </w:r>
      <w:r>
        <w:rPr>
          <w:rStyle w:val="13"/>
          <w:rFonts w:eastAsia="仿宋_GB2312"/>
          <w:bCs/>
          <w:color w:val="000000"/>
          <w:sz w:val="44"/>
          <w:szCs w:val="44"/>
        </w:rPr>
        <w:t>0</w:t>
      </w:r>
      <w:r>
        <w:rPr>
          <w:rStyle w:val="13"/>
          <w:rFonts w:ascii="仿宋" w:hAnsi="仿宋" w:eastAsia="仿宋_GB2312"/>
          <w:bCs/>
          <w:color w:val="000000"/>
          <w:sz w:val="44"/>
          <w:szCs w:val="44"/>
        </w:rPr>
        <w:t>人工干预、</w:t>
      </w:r>
      <w:r>
        <w:rPr>
          <w:rStyle w:val="13"/>
          <w:rFonts w:eastAsia="仿宋_GB2312"/>
          <w:bCs/>
          <w:color w:val="000000"/>
          <w:sz w:val="44"/>
          <w:szCs w:val="44"/>
        </w:rPr>
        <w:t>1</w:t>
      </w:r>
      <w:r>
        <w:rPr>
          <w:rStyle w:val="13"/>
          <w:rFonts w:ascii="仿宋" w:hAnsi="仿宋" w:eastAsia="仿宋_GB2312"/>
          <w:bCs/>
          <w:color w:val="000000"/>
          <w:sz w:val="44"/>
          <w:szCs w:val="44"/>
        </w:rPr>
        <w:t>秒钟放款）成果，推出更多企业有感的</w:t>
      </w:r>
      <w:r>
        <w:rPr>
          <w:rStyle w:val="13"/>
          <w:rFonts w:hint="eastAsia" w:ascii="仿宋" w:hAnsi="仿宋" w:eastAsia="仿宋_GB2312"/>
          <w:bCs/>
          <w:color w:val="000000"/>
          <w:sz w:val="44"/>
          <w:szCs w:val="44"/>
        </w:rPr>
        <w:t>新型</w:t>
      </w:r>
      <w:r>
        <w:rPr>
          <w:rStyle w:val="13"/>
          <w:rFonts w:ascii="仿宋" w:hAnsi="仿宋" w:eastAsia="仿宋_GB2312"/>
          <w:bCs/>
          <w:color w:val="000000"/>
          <w:sz w:val="44"/>
          <w:szCs w:val="44"/>
        </w:rPr>
        <w:t>信贷产品。建立应急转贷纾困体系，对符合条件的企业按照市场化原则直接展期、续贷</w:t>
      </w:r>
      <w:r>
        <w:rPr>
          <w:rStyle w:val="13"/>
          <w:rFonts w:hint="eastAsia" w:ascii="仿宋" w:hAnsi="仿宋" w:eastAsia="仿宋_GB2312"/>
          <w:bCs/>
          <w:color w:val="000000"/>
          <w:sz w:val="44"/>
          <w:szCs w:val="44"/>
        </w:rPr>
        <w:t>，鼓励</w:t>
      </w:r>
      <w:r>
        <w:rPr>
          <w:rStyle w:val="13"/>
          <w:rFonts w:ascii="仿宋" w:hAnsi="仿宋" w:eastAsia="仿宋_GB2312"/>
          <w:bCs/>
          <w:color w:val="000000"/>
          <w:sz w:val="44"/>
          <w:szCs w:val="44"/>
        </w:rPr>
        <w:t>有条件的地区建立中小微企业纾困资金和应急周转资金池。加大对民营企业司法重整的支持力度，构建相关重整融资平台，助力困难企业重获新生。</w:t>
      </w:r>
      <w:r>
        <w:rPr>
          <w:rFonts w:ascii="楷体" w:hAnsi="楷体" w:eastAsia="楷体"/>
          <w:bCs/>
          <w:color w:val="000000"/>
          <w:sz w:val="44"/>
          <w:szCs w:val="44"/>
        </w:rPr>
        <w:t>（责任单位：省委金融办、省科技厅、省工业和信息化厅、省发展改革委、省财政厅、人民银行湖南省分行、湖南金融监管局）</w:t>
      </w:r>
    </w:p>
    <w:p w14:paraId="2013872A">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十一、降低用能成本。</w:t>
      </w:r>
      <w:r>
        <w:rPr>
          <w:rStyle w:val="13"/>
          <w:rFonts w:ascii="仿宋" w:hAnsi="仿宋" w:eastAsia="仿宋_GB2312"/>
          <w:bCs/>
          <w:color w:val="000000"/>
          <w:sz w:val="44"/>
          <w:szCs w:val="44"/>
        </w:rPr>
        <w:t>深化电力体制改革，</w:t>
      </w:r>
      <w:r>
        <w:rPr>
          <w:rStyle w:val="13"/>
          <w:rFonts w:hint="eastAsia" w:ascii="仿宋" w:hAnsi="仿宋" w:eastAsia="仿宋_GB2312"/>
          <w:bCs/>
          <w:color w:val="000000"/>
          <w:sz w:val="44"/>
          <w:szCs w:val="44"/>
        </w:rPr>
        <w:t>实施</w:t>
      </w:r>
      <w:r>
        <w:rPr>
          <w:rStyle w:val="13"/>
          <w:rFonts w:ascii="仿宋" w:hAnsi="仿宋" w:eastAsia="仿宋_GB2312"/>
          <w:bCs/>
          <w:color w:val="000000"/>
          <w:sz w:val="44"/>
          <w:szCs w:val="44"/>
        </w:rPr>
        <w:t>源网荷储、园网共建、新能源上网电价市场化改革、引入外省低价电源、落实电网公平开放等</w:t>
      </w:r>
      <w:r>
        <w:rPr>
          <w:rStyle w:val="13"/>
          <w:rFonts w:hint="eastAsia" w:ascii="仿宋" w:hAnsi="仿宋" w:eastAsia="仿宋_GB2312"/>
          <w:bCs/>
          <w:color w:val="000000"/>
          <w:sz w:val="44"/>
          <w:szCs w:val="44"/>
        </w:rPr>
        <w:t>举措，</w:t>
      </w:r>
      <w:r>
        <w:rPr>
          <w:rStyle w:val="13"/>
          <w:rFonts w:ascii="仿宋" w:hAnsi="仿宋" w:eastAsia="仿宋_GB2312"/>
          <w:bCs/>
          <w:color w:val="000000"/>
          <w:sz w:val="44"/>
          <w:szCs w:val="44"/>
        </w:rPr>
        <w:t>完善工商业分时电价政策，降低用户电费支出。坚持规划引领、因地制宜推动可再生能源和新能源项目建设，严禁通过收取资源费、特许经营等方式设置或者变相设置准入门槛，确保符合政策的项目“应备案尽备案”，对违规地区采取上收核备权限、限制专项资金申报等措施予以惩戒。加强“转供电”管理，规范执行“转供电”价格政策，推动符合条件的存量用户逐步调整为电网直供电方式，增量用户具备条件的原则上一律由电网直供。加快推进天然气“一张网、一个价”</w:t>
      </w:r>
      <w:r>
        <w:rPr>
          <w:rStyle w:val="13"/>
          <w:rFonts w:hint="eastAsia" w:ascii="仿宋" w:hAnsi="仿宋" w:eastAsia="仿宋_GB2312"/>
          <w:bCs/>
          <w:color w:val="000000"/>
          <w:sz w:val="44"/>
          <w:szCs w:val="44"/>
        </w:rPr>
        <w:t>，</w:t>
      </w:r>
      <w:r>
        <w:rPr>
          <w:rStyle w:val="13"/>
          <w:rFonts w:ascii="仿宋" w:hAnsi="仿宋" w:eastAsia="仿宋_GB2312"/>
          <w:bCs/>
          <w:color w:val="000000"/>
          <w:sz w:val="44"/>
          <w:szCs w:val="44"/>
        </w:rPr>
        <w:t>开展全省配气价格和管道运输价格监管周期成本监审，降低配气价格和管输价格。</w:t>
      </w:r>
      <w:r>
        <w:rPr>
          <w:rFonts w:ascii="楷体" w:hAnsi="楷体" w:eastAsia="楷体"/>
          <w:bCs/>
          <w:color w:val="000000"/>
          <w:sz w:val="44"/>
          <w:szCs w:val="44"/>
        </w:rPr>
        <w:t>（责任单位：省发展改革委、省能源局、国网湖南省电力公司）</w:t>
      </w:r>
    </w:p>
    <w:p w14:paraId="1D4B0551">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十二、支持大学生创业。</w:t>
      </w:r>
      <w:r>
        <w:rPr>
          <w:rStyle w:val="13"/>
          <w:rFonts w:ascii="仿宋" w:hAnsi="仿宋" w:eastAsia="仿宋_GB2312"/>
          <w:bCs/>
          <w:color w:val="000000"/>
          <w:sz w:val="44"/>
          <w:szCs w:val="44"/>
        </w:rPr>
        <w:t>全面落实支持大学生创业“七个一”措施，对大学生主导的在湘创业初期项目</w:t>
      </w:r>
      <w:r>
        <w:rPr>
          <w:rStyle w:val="13"/>
          <w:rFonts w:hint="eastAsia" w:ascii="仿宋" w:hAnsi="仿宋" w:eastAsia="仿宋_GB2312"/>
          <w:bCs/>
          <w:color w:val="000000"/>
          <w:sz w:val="44"/>
          <w:szCs w:val="44"/>
        </w:rPr>
        <w:t>，可通过大学生创业基金</w:t>
      </w:r>
      <w:r>
        <w:rPr>
          <w:rStyle w:val="13"/>
          <w:rFonts w:ascii="仿宋" w:hAnsi="仿宋" w:eastAsia="仿宋_GB2312"/>
          <w:bCs/>
          <w:color w:val="000000"/>
          <w:sz w:val="44"/>
          <w:szCs w:val="44"/>
        </w:rPr>
        <w:t>提供最高</w:t>
      </w:r>
      <w:r>
        <w:rPr>
          <w:rStyle w:val="13"/>
          <w:rFonts w:eastAsia="仿宋_GB2312"/>
          <w:bCs/>
          <w:color w:val="000000"/>
          <w:sz w:val="44"/>
          <w:szCs w:val="44"/>
        </w:rPr>
        <w:t>100</w:t>
      </w:r>
      <w:r>
        <w:rPr>
          <w:rStyle w:val="13"/>
          <w:rFonts w:ascii="仿宋" w:hAnsi="仿宋" w:eastAsia="仿宋_GB2312"/>
          <w:bCs/>
          <w:color w:val="000000"/>
          <w:sz w:val="44"/>
          <w:szCs w:val="44"/>
        </w:rPr>
        <w:t>万元的创业</w:t>
      </w:r>
      <w:r>
        <w:rPr>
          <w:rStyle w:val="13"/>
          <w:rFonts w:hint="eastAsia" w:ascii="仿宋" w:hAnsi="仿宋" w:eastAsia="仿宋_GB2312"/>
          <w:bCs/>
          <w:color w:val="000000"/>
          <w:sz w:val="44"/>
          <w:szCs w:val="44"/>
        </w:rPr>
        <w:t>股权投资</w:t>
      </w:r>
      <w:r>
        <w:rPr>
          <w:rStyle w:val="13"/>
          <w:rFonts w:ascii="仿宋" w:hAnsi="仿宋" w:eastAsia="仿宋_GB2312"/>
          <w:bCs/>
          <w:color w:val="000000"/>
          <w:sz w:val="44"/>
          <w:szCs w:val="44"/>
        </w:rPr>
        <w:t>支持，对高校毕业生合伙创业的</w:t>
      </w:r>
      <w:r>
        <w:rPr>
          <w:rStyle w:val="13"/>
          <w:rFonts w:hint="eastAsia" w:ascii="仿宋" w:hAnsi="仿宋" w:eastAsia="仿宋_GB2312"/>
          <w:bCs/>
          <w:color w:val="000000"/>
          <w:sz w:val="44"/>
          <w:szCs w:val="44"/>
        </w:rPr>
        <w:t>，可</w:t>
      </w:r>
      <w:r>
        <w:rPr>
          <w:rStyle w:val="13"/>
          <w:rFonts w:ascii="仿宋" w:hAnsi="仿宋" w:eastAsia="仿宋_GB2312"/>
          <w:bCs/>
          <w:color w:val="000000"/>
          <w:sz w:val="44"/>
          <w:szCs w:val="44"/>
        </w:rPr>
        <w:t>提供不超过</w:t>
      </w:r>
      <w:r>
        <w:rPr>
          <w:rStyle w:val="13"/>
          <w:rFonts w:eastAsia="仿宋_GB2312"/>
          <w:bCs/>
          <w:color w:val="000000"/>
          <w:sz w:val="44"/>
          <w:szCs w:val="44"/>
        </w:rPr>
        <w:t>400</w:t>
      </w:r>
      <w:r>
        <w:rPr>
          <w:rStyle w:val="13"/>
          <w:rFonts w:ascii="仿宋" w:hAnsi="仿宋" w:eastAsia="仿宋_GB2312"/>
          <w:bCs/>
          <w:color w:val="000000"/>
          <w:sz w:val="44"/>
          <w:szCs w:val="44"/>
        </w:rPr>
        <w:t>万元的创业担保贷款，贷款利息由财政部门按实际利率的</w:t>
      </w:r>
      <w:r>
        <w:rPr>
          <w:rStyle w:val="13"/>
          <w:rFonts w:eastAsia="仿宋_GB2312"/>
          <w:bCs/>
          <w:color w:val="000000"/>
          <w:sz w:val="44"/>
          <w:szCs w:val="44"/>
        </w:rPr>
        <w:t>50%</w:t>
      </w:r>
      <w:r>
        <w:rPr>
          <w:rStyle w:val="13"/>
          <w:rFonts w:ascii="仿宋" w:hAnsi="仿宋" w:eastAsia="仿宋_GB2312"/>
          <w:bCs/>
          <w:color w:val="000000"/>
          <w:sz w:val="44"/>
          <w:szCs w:val="44"/>
        </w:rPr>
        <w:t>给予补贴。建设一批有特色、功能强的创业孵化载体，重点支持建设</w:t>
      </w:r>
      <w:r>
        <w:rPr>
          <w:rStyle w:val="13"/>
          <w:rFonts w:eastAsia="仿宋_GB2312"/>
          <w:bCs/>
          <w:color w:val="000000"/>
          <w:sz w:val="44"/>
          <w:szCs w:val="44"/>
        </w:rPr>
        <w:t>20</w:t>
      </w:r>
      <w:r>
        <w:rPr>
          <w:rStyle w:val="13"/>
          <w:rFonts w:ascii="仿宋" w:hAnsi="仿宋" w:eastAsia="仿宋_GB2312"/>
          <w:bCs/>
          <w:color w:val="000000"/>
          <w:sz w:val="44"/>
          <w:szCs w:val="44"/>
        </w:rPr>
        <w:t>个左右具有示范和带动效应的省级大学生创业孵化基地，各级政府投资建设的孵化器等创新创业载体应安排不少于</w:t>
      </w:r>
      <w:r>
        <w:rPr>
          <w:rStyle w:val="13"/>
          <w:rFonts w:eastAsia="仿宋_GB2312"/>
          <w:bCs/>
          <w:color w:val="000000"/>
          <w:sz w:val="44"/>
          <w:szCs w:val="44"/>
        </w:rPr>
        <w:t>30%</w:t>
      </w:r>
      <w:r>
        <w:rPr>
          <w:rStyle w:val="13"/>
          <w:rFonts w:ascii="仿宋" w:hAnsi="仿宋" w:eastAsia="仿宋_GB2312"/>
          <w:bCs/>
          <w:color w:val="000000"/>
          <w:sz w:val="44"/>
          <w:szCs w:val="44"/>
        </w:rPr>
        <w:t>的场地免费提供给大学生。推进大学生创业投资基金扩面提效，统筹推动金芙蓉基金加大对创新创业项目的支持，形成“领投—跟投—接力投”机制，支持创新创业全生命周期成长。</w:t>
      </w:r>
      <w:r>
        <w:rPr>
          <w:rFonts w:ascii="楷体" w:hAnsi="楷体" w:eastAsia="楷体"/>
          <w:bCs/>
          <w:color w:val="000000"/>
          <w:sz w:val="44"/>
          <w:szCs w:val="44"/>
        </w:rPr>
        <w:t>（责任单位：省财政厅、省委金融办、省人力资源社会保障厅、省科技厅、省工业和信息化厅、人民银行湖南省分行、湖南金融监管局）</w:t>
      </w:r>
    </w:p>
    <w:p w14:paraId="782FFEA1">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十三、加强</w:t>
      </w:r>
      <w:r>
        <w:rPr>
          <w:rFonts w:hint="eastAsia" w:ascii="黑体" w:hAnsi="黑体" w:eastAsia="黑体"/>
          <w:bCs/>
          <w:color w:val="000000"/>
          <w:sz w:val="44"/>
          <w:szCs w:val="44"/>
        </w:rPr>
        <w:t>青年人才住房保障</w:t>
      </w:r>
      <w:r>
        <w:rPr>
          <w:rFonts w:ascii="黑体" w:hAnsi="黑体" w:eastAsia="黑体"/>
          <w:bCs/>
          <w:color w:val="000000"/>
          <w:sz w:val="44"/>
          <w:szCs w:val="44"/>
        </w:rPr>
        <w:t>。</w:t>
      </w:r>
      <w:r>
        <w:rPr>
          <w:rStyle w:val="13"/>
          <w:rFonts w:ascii="仿宋" w:hAnsi="仿宋" w:eastAsia="仿宋_GB2312"/>
          <w:bCs/>
          <w:color w:val="000000"/>
          <w:sz w:val="44"/>
          <w:szCs w:val="44"/>
        </w:rPr>
        <w:t>加快建设“青年驿站”，以异地创业就业高校毕业生（毕业三年内）为重点服务对象</w:t>
      </w:r>
      <w:r>
        <w:rPr>
          <w:rStyle w:val="13"/>
          <w:rFonts w:hint="eastAsia" w:ascii="仿宋" w:hAnsi="仿宋" w:eastAsia="仿宋_GB2312"/>
          <w:bCs/>
          <w:color w:val="000000"/>
          <w:sz w:val="44"/>
          <w:szCs w:val="44"/>
        </w:rPr>
        <w:t>（</w:t>
      </w:r>
      <w:r>
        <w:rPr>
          <w:rStyle w:val="13"/>
          <w:rFonts w:ascii="仿宋" w:hAnsi="仿宋" w:eastAsia="仿宋_GB2312"/>
          <w:bCs/>
          <w:color w:val="000000"/>
          <w:sz w:val="44"/>
          <w:szCs w:val="44"/>
        </w:rPr>
        <w:t>可适当拓宽至</w:t>
      </w:r>
      <w:r>
        <w:rPr>
          <w:rStyle w:val="13"/>
          <w:rFonts w:eastAsia="仿宋_GB2312"/>
          <w:bCs/>
          <w:color w:val="000000"/>
          <w:sz w:val="44"/>
          <w:szCs w:val="44"/>
        </w:rPr>
        <w:t>35</w:t>
      </w:r>
      <w:r>
        <w:rPr>
          <w:rStyle w:val="13"/>
          <w:rFonts w:ascii="仿宋" w:hAnsi="仿宋" w:eastAsia="仿宋_GB2312"/>
          <w:bCs/>
          <w:color w:val="000000"/>
          <w:sz w:val="44"/>
          <w:szCs w:val="44"/>
        </w:rPr>
        <w:t>周岁以下创业就业青年</w:t>
      </w:r>
      <w:r>
        <w:rPr>
          <w:rStyle w:val="13"/>
          <w:rFonts w:hint="eastAsia" w:ascii="仿宋" w:hAnsi="仿宋" w:eastAsia="仿宋_GB2312"/>
          <w:bCs/>
          <w:color w:val="000000"/>
          <w:sz w:val="44"/>
          <w:szCs w:val="44"/>
        </w:rPr>
        <w:t>）</w:t>
      </w:r>
      <w:r>
        <w:rPr>
          <w:rStyle w:val="13"/>
          <w:rFonts w:ascii="仿宋" w:hAnsi="仿宋" w:eastAsia="仿宋_GB2312"/>
          <w:bCs/>
          <w:color w:val="000000"/>
          <w:sz w:val="44"/>
          <w:szCs w:val="44"/>
        </w:rPr>
        <w:t>，提供不少于</w:t>
      </w:r>
      <w:r>
        <w:rPr>
          <w:rStyle w:val="13"/>
          <w:rFonts w:eastAsia="仿宋_GB2312"/>
          <w:bCs/>
          <w:color w:val="000000"/>
          <w:sz w:val="44"/>
          <w:szCs w:val="44"/>
        </w:rPr>
        <w:t>7</w:t>
      </w:r>
      <w:r>
        <w:rPr>
          <w:rStyle w:val="13"/>
          <w:rFonts w:ascii="仿宋" w:hAnsi="仿宋" w:eastAsia="仿宋_GB2312"/>
          <w:bCs/>
          <w:color w:val="000000"/>
          <w:sz w:val="44"/>
          <w:szCs w:val="44"/>
        </w:rPr>
        <w:t>天的免费住宿期，免费期满后以租金折扣、阶梯式减免等方式，满足青年实际需求。每个国家级、省级青年发展型城市建设试点城市</w:t>
      </w:r>
      <w:r>
        <w:rPr>
          <w:rStyle w:val="13"/>
          <w:rFonts w:eastAsia="仿宋_GB2312"/>
          <w:bCs/>
          <w:color w:val="000000"/>
          <w:sz w:val="44"/>
          <w:szCs w:val="44"/>
        </w:rPr>
        <w:t>2027</w:t>
      </w:r>
      <w:r>
        <w:rPr>
          <w:rStyle w:val="13"/>
          <w:rFonts w:ascii="仿宋" w:hAnsi="仿宋" w:eastAsia="仿宋_GB2312"/>
          <w:bCs/>
          <w:color w:val="000000"/>
          <w:sz w:val="44"/>
          <w:szCs w:val="44"/>
        </w:rPr>
        <w:t>年前每年新建“青年驿站”分别不少于</w:t>
      </w:r>
      <w:r>
        <w:rPr>
          <w:rStyle w:val="13"/>
          <w:rFonts w:eastAsia="仿宋_GB2312"/>
          <w:bCs/>
          <w:color w:val="000000"/>
          <w:sz w:val="44"/>
          <w:szCs w:val="44"/>
        </w:rPr>
        <w:t>4</w:t>
      </w:r>
      <w:r>
        <w:rPr>
          <w:rStyle w:val="13"/>
          <w:rFonts w:ascii="仿宋" w:hAnsi="仿宋" w:eastAsia="仿宋_GB2312"/>
          <w:bCs/>
          <w:color w:val="000000"/>
          <w:sz w:val="44"/>
          <w:szCs w:val="44"/>
        </w:rPr>
        <w:t>个、</w:t>
      </w:r>
      <w:r>
        <w:rPr>
          <w:rStyle w:val="13"/>
          <w:rFonts w:eastAsia="仿宋_GB2312"/>
          <w:bCs/>
          <w:color w:val="000000"/>
          <w:sz w:val="44"/>
          <w:szCs w:val="44"/>
        </w:rPr>
        <w:t>2</w:t>
      </w:r>
      <w:r>
        <w:rPr>
          <w:rStyle w:val="13"/>
          <w:rFonts w:ascii="仿宋" w:hAnsi="仿宋" w:eastAsia="仿宋_GB2312"/>
          <w:bCs/>
          <w:color w:val="000000"/>
          <w:sz w:val="44"/>
          <w:szCs w:val="44"/>
        </w:rPr>
        <w:t>个。鼓励有条件的市州，通过新建、商品房收购、存量房改建，加快建设一批人才公寓，对符合条件的人才提供</w:t>
      </w:r>
      <w:r>
        <w:rPr>
          <w:rStyle w:val="13"/>
          <w:rFonts w:eastAsia="仿宋_GB2312"/>
          <w:bCs/>
          <w:color w:val="000000"/>
          <w:sz w:val="44"/>
          <w:szCs w:val="44"/>
        </w:rPr>
        <w:t>2</w:t>
      </w:r>
      <w:r>
        <w:rPr>
          <w:rStyle w:val="13"/>
          <w:rFonts w:ascii="仿宋" w:hAnsi="仿宋" w:eastAsia="仿宋_GB2312"/>
          <w:bCs/>
          <w:color w:val="000000"/>
          <w:sz w:val="44"/>
          <w:szCs w:val="44"/>
        </w:rPr>
        <w:t>年免租金入住。</w:t>
      </w:r>
      <w:r>
        <w:rPr>
          <w:rFonts w:ascii="楷体" w:hAnsi="楷体" w:eastAsia="楷体"/>
          <w:bCs/>
          <w:color w:val="000000"/>
          <w:sz w:val="44"/>
          <w:szCs w:val="44"/>
        </w:rPr>
        <w:t>（责任单位：省住房城乡建设厅、团省委）</w:t>
      </w:r>
    </w:p>
    <w:p w14:paraId="5ED6B029">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十四、全面推行“扫码入企、联码督查”</w:t>
      </w:r>
      <w:r>
        <w:rPr>
          <w:rFonts w:hint="eastAsia" w:ascii="黑体" w:hAnsi="黑体" w:eastAsia="黑体"/>
          <w:bCs/>
          <w:color w:val="000000"/>
          <w:sz w:val="44"/>
          <w:szCs w:val="44"/>
        </w:rPr>
        <w:t>。</w:t>
      </w:r>
      <w:r>
        <w:rPr>
          <w:rStyle w:val="13"/>
          <w:rFonts w:hint="eastAsia" w:ascii="仿宋" w:hAnsi="仿宋" w:eastAsia="仿宋_GB2312"/>
          <w:bCs/>
          <w:color w:val="000000"/>
          <w:sz w:val="44"/>
          <w:szCs w:val="44"/>
        </w:rPr>
        <w:t>实行</w:t>
      </w:r>
      <w:r>
        <w:rPr>
          <w:rStyle w:val="13"/>
          <w:rFonts w:ascii="仿宋" w:hAnsi="仿宋" w:eastAsia="仿宋_GB2312"/>
          <w:bCs/>
          <w:color w:val="000000"/>
          <w:sz w:val="44"/>
          <w:szCs w:val="44"/>
        </w:rPr>
        <w:t>“检查有计划—入企有依据—进企有亮码—结果有反馈—企业有评价”的全流程闭环管理。推行跨部门联合检查，优化“综合查一次”“双随机</w:t>
      </w:r>
      <w:r>
        <w:rPr>
          <w:rStyle w:val="13"/>
          <w:rFonts w:hint="eastAsia" w:ascii="仿宋" w:hAnsi="仿宋" w:eastAsia="仿宋_GB2312"/>
          <w:bCs/>
          <w:color w:val="000000"/>
          <w:sz w:val="44"/>
          <w:szCs w:val="44"/>
          <w:lang w:eastAsia="zh-CN"/>
        </w:rPr>
        <w:t>、</w:t>
      </w:r>
      <w:bookmarkStart w:id="0" w:name="_GoBack"/>
      <w:bookmarkEnd w:id="0"/>
      <w:r>
        <w:rPr>
          <w:rStyle w:val="13"/>
          <w:rFonts w:ascii="仿宋" w:hAnsi="仿宋" w:eastAsia="仿宋_GB2312"/>
          <w:bCs/>
          <w:color w:val="000000"/>
          <w:sz w:val="44"/>
          <w:szCs w:val="44"/>
        </w:rPr>
        <w:t>一公开”检查，除符合规定的特殊情形外，行政检查主体对同一经营主体实施的日常行政检查总数一年内不得超过两次；超过两次的，应当报同级人民政府同意。</w:t>
      </w:r>
      <w:r>
        <w:rPr>
          <w:rFonts w:ascii="楷体" w:hAnsi="楷体" w:eastAsia="楷体"/>
          <w:bCs/>
          <w:color w:val="000000"/>
          <w:sz w:val="44"/>
          <w:szCs w:val="44"/>
        </w:rPr>
        <w:t>（责任单位：省司法厅、省市场监管局、省发展改革委、省直各行政执法部门）</w:t>
      </w:r>
    </w:p>
    <w:p w14:paraId="3717C05E">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十五、推广非现场检查。</w:t>
      </w:r>
      <w:r>
        <w:rPr>
          <w:rStyle w:val="13"/>
          <w:rFonts w:ascii="仿宋" w:hAnsi="仿宋" w:eastAsia="仿宋_GB2312"/>
          <w:bCs/>
          <w:color w:val="000000"/>
          <w:sz w:val="44"/>
          <w:szCs w:val="44"/>
        </w:rPr>
        <w:t>推广视频人工智能识别、设备感知、物联感知、数据比对、大数据筛查、远程检查、网络巡查、企业自主提交材料等非现场监管方式，逐年提高非现场检查占比。</w:t>
      </w:r>
      <w:r>
        <w:rPr>
          <w:rFonts w:ascii="楷体" w:hAnsi="楷体" w:eastAsia="楷体"/>
          <w:bCs/>
          <w:color w:val="000000"/>
          <w:sz w:val="44"/>
          <w:szCs w:val="44"/>
        </w:rPr>
        <w:t>（责任单位：省司法厅、省直各行政执法部门）</w:t>
      </w:r>
    </w:p>
    <w:p w14:paraId="0C83C017">
      <w:pPr>
        <w:overflowPunct w:val="0"/>
        <w:adjustRightInd w:val="0"/>
        <w:snapToGrid w:val="0"/>
        <w:spacing w:line="660" w:lineRule="exact"/>
        <w:ind w:firstLine="880" w:firstLineChars="200"/>
        <w:rPr>
          <w:rFonts w:ascii="仿宋" w:hAnsi="仿宋" w:eastAsia="仿宋"/>
          <w:bCs/>
          <w:color w:val="000000"/>
          <w:sz w:val="44"/>
          <w:szCs w:val="44"/>
        </w:rPr>
      </w:pPr>
      <w:r>
        <w:rPr>
          <w:rFonts w:ascii="黑体" w:hAnsi="黑体" w:eastAsia="黑体"/>
          <w:bCs/>
          <w:color w:val="000000"/>
          <w:sz w:val="44"/>
          <w:szCs w:val="44"/>
        </w:rPr>
        <w:t>十六、建立</w:t>
      </w:r>
      <w:r>
        <w:rPr>
          <w:rFonts w:hint="eastAsia" w:ascii="黑体" w:hAnsi="黑体" w:eastAsia="黑体"/>
          <w:bCs/>
          <w:color w:val="000000"/>
          <w:sz w:val="44"/>
          <w:szCs w:val="44"/>
        </w:rPr>
        <w:t>企业</w:t>
      </w:r>
      <w:r>
        <w:rPr>
          <w:rFonts w:ascii="黑体" w:hAnsi="黑体" w:eastAsia="黑体"/>
          <w:bCs/>
          <w:color w:val="000000"/>
          <w:sz w:val="44"/>
          <w:szCs w:val="44"/>
        </w:rPr>
        <w:t>“免检”机制。</w:t>
      </w:r>
      <w:r>
        <w:rPr>
          <w:rStyle w:val="13"/>
          <w:rFonts w:ascii="仿宋" w:hAnsi="仿宋" w:eastAsia="仿宋_GB2312"/>
          <w:bCs/>
          <w:color w:val="000000"/>
          <w:sz w:val="44"/>
          <w:szCs w:val="44"/>
        </w:rPr>
        <w:t>根据</w:t>
      </w:r>
      <w:r>
        <w:rPr>
          <w:rStyle w:val="13"/>
          <w:rFonts w:hint="eastAsia" w:ascii="仿宋" w:hAnsi="仿宋" w:eastAsia="仿宋_GB2312"/>
          <w:bCs/>
          <w:color w:val="000000"/>
          <w:sz w:val="44"/>
          <w:szCs w:val="44"/>
        </w:rPr>
        <w:t>涉企</w:t>
      </w:r>
      <w:r>
        <w:rPr>
          <w:rStyle w:val="13"/>
          <w:rFonts w:ascii="仿宋" w:hAnsi="仿宋" w:eastAsia="仿宋_GB2312"/>
          <w:bCs/>
          <w:color w:val="000000"/>
          <w:sz w:val="44"/>
          <w:szCs w:val="44"/>
        </w:rPr>
        <w:t>检查结果，逐步建立信用分级分类监管模式和企业动态“免检”机制，对纳入企业“免检”名单的，在一定时间段内非必要不进行现场检查。除法律法规规定的特殊行业领域外，不断扩大“免检”范围。鼓励各地设立企业“宁静日”</w:t>
      </w:r>
      <w:r>
        <w:rPr>
          <w:rStyle w:val="13"/>
          <w:rFonts w:hint="eastAsia" w:ascii="仿宋" w:hAnsi="仿宋" w:eastAsia="仿宋_GB2312"/>
          <w:bCs/>
          <w:color w:val="000000"/>
          <w:sz w:val="44"/>
          <w:szCs w:val="44"/>
        </w:rPr>
        <w:t>。</w:t>
      </w:r>
      <w:r>
        <w:rPr>
          <w:rFonts w:ascii="楷体" w:hAnsi="楷体" w:eastAsia="楷体"/>
          <w:bCs/>
          <w:color w:val="000000"/>
          <w:sz w:val="44"/>
          <w:szCs w:val="44"/>
        </w:rPr>
        <w:t>（责任单位：省直各行政执法部门）</w:t>
      </w:r>
    </w:p>
    <w:p w14:paraId="79E56E26">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十七、推行包容审慎监管。</w:t>
      </w:r>
      <w:r>
        <w:rPr>
          <w:rStyle w:val="13"/>
          <w:rFonts w:ascii="仿宋" w:hAnsi="仿宋" w:eastAsia="仿宋_GB2312"/>
          <w:bCs/>
          <w:color w:val="000000"/>
          <w:sz w:val="44"/>
          <w:szCs w:val="44"/>
        </w:rPr>
        <w:t>坚持过罚相当</w:t>
      </w:r>
      <w:r>
        <w:rPr>
          <w:rStyle w:val="13"/>
          <w:rFonts w:hint="eastAsia" w:ascii="仿宋" w:hAnsi="仿宋" w:eastAsia="仿宋_GB2312"/>
          <w:bCs/>
          <w:color w:val="000000"/>
          <w:sz w:val="44"/>
          <w:szCs w:val="44"/>
        </w:rPr>
        <w:t>，</w:t>
      </w:r>
      <w:r>
        <w:rPr>
          <w:rStyle w:val="13"/>
          <w:rFonts w:ascii="仿宋" w:hAnsi="仿宋" w:eastAsia="仿宋_GB2312"/>
          <w:bCs/>
          <w:color w:val="000000"/>
          <w:sz w:val="44"/>
          <w:szCs w:val="44"/>
        </w:rPr>
        <w:t>全面推进柔性执法，对涉企行政检查中发现的问题，部门必须书面反馈整改意见，必须明确具体法律法规规章依据及条款，必须提出包含整改建议在内的具体明确的整改要求，坚决杜绝执法标准、整改要求前后不一现象。行政检查结束后，要将行政检查结果及时告知企业。面向新技术、新产业、新业态主体制定“沙盒监管”规则，依申请将企业纳入“沙盒监管”。在确保质量和安全的前提下，对入盒企业采取柔性监管措施，允许在法律法规尚未明确的新兴产业领域开展商业流程、服务模式或产品形态创新。</w:t>
      </w:r>
      <w:r>
        <w:rPr>
          <w:rFonts w:ascii="楷体" w:hAnsi="楷体" w:eastAsia="楷体"/>
          <w:bCs/>
          <w:color w:val="000000"/>
          <w:sz w:val="44"/>
          <w:szCs w:val="44"/>
        </w:rPr>
        <w:t>（责任单位：省司法厅、省直各行政执法部门）</w:t>
      </w:r>
    </w:p>
    <w:p w14:paraId="68ED0D73">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十八、</w:t>
      </w:r>
      <w:r>
        <w:rPr>
          <w:rFonts w:hint="eastAsia" w:ascii="黑体" w:hAnsi="黑体" w:eastAsia="黑体"/>
          <w:bCs/>
          <w:color w:val="000000"/>
          <w:sz w:val="44"/>
          <w:szCs w:val="44"/>
        </w:rPr>
        <w:t>规范</w:t>
      </w:r>
      <w:r>
        <w:rPr>
          <w:rFonts w:ascii="黑体" w:hAnsi="黑体" w:eastAsia="黑体"/>
          <w:bCs/>
          <w:color w:val="000000"/>
          <w:sz w:val="44"/>
          <w:szCs w:val="44"/>
        </w:rPr>
        <w:t>罚没</w:t>
      </w:r>
      <w:r>
        <w:rPr>
          <w:rFonts w:hint="eastAsia" w:ascii="黑体" w:hAnsi="黑体" w:eastAsia="黑体"/>
          <w:bCs/>
          <w:color w:val="000000"/>
          <w:sz w:val="44"/>
          <w:szCs w:val="44"/>
        </w:rPr>
        <w:t>行为</w:t>
      </w:r>
      <w:r>
        <w:rPr>
          <w:rFonts w:ascii="黑体" w:hAnsi="黑体" w:eastAsia="黑体"/>
          <w:bCs/>
          <w:color w:val="000000"/>
          <w:sz w:val="44"/>
          <w:szCs w:val="44"/>
        </w:rPr>
        <w:t>。</w:t>
      </w:r>
      <w:r>
        <w:rPr>
          <w:rStyle w:val="13"/>
          <w:rFonts w:ascii="仿宋" w:hAnsi="仿宋" w:eastAsia="仿宋_GB2312"/>
          <w:bCs/>
          <w:color w:val="000000"/>
          <w:sz w:val="44"/>
          <w:szCs w:val="44"/>
        </w:rPr>
        <w:t>严格规范罚款实施，准确适用裁量权基准，依托全省行政执法和行政执法监督一体化平台，建立全省统一的行政处罚裁量权基准数据库、涉企执法案例库，通过案例公开、大数据比较、社会监督，压缩自由裁量空间，严肃查处过罚失当等行为。</w:t>
      </w:r>
      <w:r>
        <w:rPr>
          <w:rStyle w:val="13"/>
          <w:rFonts w:hint="eastAsia" w:ascii="仿宋" w:hAnsi="仿宋" w:eastAsia="仿宋_GB2312"/>
          <w:bCs/>
          <w:color w:val="000000"/>
          <w:sz w:val="44"/>
          <w:szCs w:val="44"/>
        </w:rPr>
        <w:t>严禁下达罚没收入任务指标</w:t>
      </w:r>
      <w:r>
        <w:rPr>
          <w:rStyle w:val="13"/>
          <w:rFonts w:ascii="仿宋" w:hAnsi="仿宋" w:eastAsia="仿宋_GB2312"/>
          <w:bCs/>
          <w:color w:val="000000"/>
          <w:sz w:val="44"/>
          <w:szCs w:val="44"/>
        </w:rPr>
        <w:t>，不得将经费预算安排与单位罚没收入挂钩。</w:t>
      </w:r>
      <w:r>
        <w:rPr>
          <w:rStyle w:val="13"/>
          <w:rFonts w:hint="eastAsia" w:ascii="仿宋" w:hAnsi="仿宋" w:eastAsia="仿宋_GB2312"/>
          <w:bCs/>
          <w:color w:val="000000"/>
          <w:sz w:val="44"/>
          <w:szCs w:val="44"/>
        </w:rPr>
        <w:t>加强对</w:t>
      </w:r>
      <w:r>
        <w:rPr>
          <w:rStyle w:val="13"/>
          <w:rFonts w:ascii="仿宋" w:hAnsi="仿宋" w:eastAsia="仿宋_GB2312"/>
          <w:bCs/>
          <w:color w:val="000000"/>
          <w:sz w:val="44"/>
          <w:szCs w:val="44"/>
        </w:rPr>
        <w:t>罚没收入异常增长</w:t>
      </w:r>
      <w:r>
        <w:rPr>
          <w:rStyle w:val="13"/>
          <w:rFonts w:hint="eastAsia" w:ascii="仿宋" w:hAnsi="仿宋" w:eastAsia="仿宋_GB2312"/>
          <w:bCs/>
          <w:color w:val="000000"/>
          <w:sz w:val="44"/>
          <w:szCs w:val="44"/>
        </w:rPr>
        <w:t>情况的</w:t>
      </w:r>
      <w:r>
        <w:rPr>
          <w:rStyle w:val="13"/>
          <w:rFonts w:ascii="仿宋" w:hAnsi="仿宋" w:eastAsia="仿宋_GB2312"/>
          <w:bCs/>
          <w:color w:val="000000"/>
          <w:sz w:val="44"/>
          <w:szCs w:val="44"/>
        </w:rPr>
        <w:t>监管</w:t>
      </w:r>
      <w:r>
        <w:rPr>
          <w:rStyle w:val="13"/>
          <w:rFonts w:hint="eastAsia" w:ascii="仿宋" w:hAnsi="仿宋" w:eastAsia="仿宋_GB2312"/>
          <w:bCs/>
          <w:color w:val="000000"/>
          <w:sz w:val="44"/>
          <w:szCs w:val="44"/>
        </w:rPr>
        <w:t>。</w:t>
      </w:r>
      <w:r>
        <w:rPr>
          <w:rFonts w:ascii="楷体" w:hAnsi="楷体" w:eastAsia="楷体"/>
          <w:bCs/>
          <w:color w:val="000000"/>
          <w:sz w:val="44"/>
          <w:szCs w:val="44"/>
        </w:rPr>
        <w:t>（责任单位：省司法厅、省财政厅、省直各行政执法部门）</w:t>
      </w:r>
    </w:p>
    <w:p w14:paraId="400D82D6">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十九、推进“高效办成一件事”。</w:t>
      </w:r>
      <w:r>
        <w:rPr>
          <w:rStyle w:val="13"/>
          <w:rFonts w:ascii="仿宋" w:hAnsi="仿宋" w:eastAsia="仿宋_GB2312"/>
          <w:bCs/>
          <w:color w:val="000000"/>
          <w:sz w:val="44"/>
          <w:szCs w:val="44"/>
        </w:rPr>
        <w:t>在深入落实国家“高效办成一件事”重点事项清单的基础上，鼓励推出更多我省特色“一件事”。设置“办不成事”服务窗口，及时协调解决办事过程中的困难和问题。</w:t>
      </w:r>
      <w:r>
        <w:rPr>
          <w:rFonts w:ascii="楷体" w:hAnsi="楷体" w:eastAsia="楷体"/>
          <w:bCs/>
          <w:color w:val="000000"/>
          <w:sz w:val="44"/>
          <w:szCs w:val="44"/>
        </w:rPr>
        <w:t>（责任单位：省数据局、省直相关部门）</w:t>
      </w:r>
    </w:p>
    <w:p w14:paraId="410E1C9D">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二十、</w:t>
      </w:r>
      <w:r>
        <w:rPr>
          <w:rFonts w:hint="eastAsia" w:ascii="黑体" w:hAnsi="黑体" w:eastAsia="黑体"/>
          <w:bCs/>
          <w:color w:val="000000"/>
          <w:sz w:val="44"/>
          <w:szCs w:val="44"/>
        </w:rPr>
        <w:t>调整</w:t>
      </w:r>
      <w:r>
        <w:rPr>
          <w:rFonts w:ascii="黑体" w:hAnsi="黑体" w:eastAsia="黑体"/>
          <w:bCs/>
          <w:color w:val="000000"/>
          <w:sz w:val="44"/>
          <w:szCs w:val="44"/>
        </w:rPr>
        <w:t>优化涉民企政策。</w:t>
      </w:r>
      <w:r>
        <w:rPr>
          <w:rStyle w:val="13"/>
          <w:rFonts w:ascii="仿宋" w:hAnsi="仿宋" w:eastAsia="仿宋_GB2312"/>
          <w:bCs/>
          <w:color w:val="000000"/>
          <w:sz w:val="44"/>
          <w:szCs w:val="44"/>
        </w:rPr>
        <w:t>完善领导干部联系民营企业家、民营企业家建言资政沟通和参与涉企政策制定等机制和渠道，从全省范围内抽取不少于</w:t>
      </w:r>
      <w:r>
        <w:rPr>
          <w:rStyle w:val="13"/>
          <w:rFonts w:eastAsia="仿宋_GB2312"/>
          <w:bCs/>
          <w:color w:val="000000"/>
          <w:sz w:val="44"/>
          <w:szCs w:val="44"/>
        </w:rPr>
        <w:t>1000</w:t>
      </w:r>
      <w:r>
        <w:rPr>
          <w:rStyle w:val="13"/>
          <w:rFonts w:ascii="仿宋" w:hAnsi="仿宋" w:eastAsia="仿宋_GB2312"/>
          <w:bCs/>
          <w:color w:val="000000"/>
          <w:sz w:val="44"/>
          <w:szCs w:val="44"/>
        </w:rPr>
        <w:t>家民营企业</w:t>
      </w:r>
      <w:r>
        <w:rPr>
          <w:rStyle w:val="13"/>
          <w:rFonts w:hint="eastAsia" w:ascii="仿宋" w:hAnsi="仿宋" w:eastAsia="仿宋_GB2312"/>
          <w:bCs/>
          <w:color w:val="000000"/>
          <w:sz w:val="44"/>
          <w:szCs w:val="44"/>
        </w:rPr>
        <w:t>进行</w:t>
      </w:r>
      <w:r>
        <w:rPr>
          <w:rStyle w:val="13"/>
          <w:rFonts w:ascii="仿宋" w:hAnsi="仿宋" w:eastAsia="仿宋_GB2312"/>
          <w:bCs/>
          <w:color w:val="000000"/>
          <w:sz w:val="44"/>
          <w:szCs w:val="44"/>
        </w:rPr>
        <w:t>走访，全面梳理涉民企政策落实过程中的困难问题及意见建议，推动调整废止一批、优化完善一批、新增制定一批涉民营企业政策。</w:t>
      </w:r>
      <w:r>
        <w:rPr>
          <w:rFonts w:ascii="楷体" w:hAnsi="楷体" w:eastAsia="楷体"/>
          <w:bCs/>
          <w:color w:val="000000"/>
          <w:sz w:val="44"/>
          <w:szCs w:val="44"/>
        </w:rPr>
        <w:t>（责任单位：省工商联、省直相关部门）</w:t>
      </w:r>
    </w:p>
    <w:p w14:paraId="769183A6">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二十一、提升中介服务质效。</w:t>
      </w:r>
      <w:r>
        <w:rPr>
          <w:rStyle w:val="13"/>
          <w:rFonts w:ascii="仿宋" w:hAnsi="仿宋" w:eastAsia="仿宋_GB2312"/>
          <w:bCs/>
          <w:color w:val="000000"/>
          <w:sz w:val="44"/>
          <w:szCs w:val="44"/>
        </w:rPr>
        <w:t>全面建立中介机构服务质量评价机制，省直相关部门</w:t>
      </w:r>
      <w:r>
        <w:rPr>
          <w:rStyle w:val="13"/>
          <w:rFonts w:hint="eastAsia" w:ascii="仿宋" w:hAnsi="仿宋" w:eastAsia="仿宋_GB2312"/>
          <w:bCs/>
          <w:color w:val="000000"/>
          <w:sz w:val="44"/>
          <w:szCs w:val="44"/>
        </w:rPr>
        <w:t>要</w:t>
      </w:r>
      <w:r>
        <w:rPr>
          <w:rStyle w:val="13"/>
          <w:rFonts w:ascii="仿宋" w:hAnsi="仿宋" w:eastAsia="仿宋_GB2312"/>
          <w:bCs/>
          <w:color w:val="000000"/>
          <w:sz w:val="44"/>
          <w:szCs w:val="44"/>
        </w:rPr>
        <w:t>定期对其委托或者使用的中介服务成果开展质量评价，评价结果每半年向社会公开公布。坚持便民、就近和“谁委托、谁付费”原则，推动各级各部门依法开展行政审批中介服务。推进《湖南省网上中介服务超市管理运行办法》落实落地并向“湘易办”延伸。</w:t>
      </w:r>
      <w:r>
        <w:rPr>
          <w:rFonts w:ascii="楷体" w:hAnsi="楷体" w:eastAsia="楷体"/>
          <w:bCs/>
          <w:color w:val="000000"/>
          <w:sz w:val="44"/>
          <w:szCs w:val="44"/>
        </w:rPr>
        <w:t>（责任单位：省直相关部门、省数据局）</w:t>
      </w:r>
    </w:p>
    <w:p w14:paraId="32278D59">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二十二、提升诉求办理质效。</w:t>
      </w:r>
      <w:r>
        <w:rPr>
          <w:rStyle w:val="13"/>
          <w:rFonts w:ascii="仿宋" w:hAnsi="仿宋" w:eastAsia="仿宋_GB2312"/>
          <w:bCs/>
          <w:color w:val="000000"/>
          <w:sz w:val="44"/>
          <w:szCs w:val="44"/>
        </w:rPr>
        <w:t>落实《湖南省营商环境诉求办理实施办法（试行）》，健全诉求受理（集成）、派单、办理、督办、回访、办结、通报、评价等全链条闭环工作体系。</w:t>
      </w:r>
      <w:r>
        <w:rPr>
          <w:rFonts w:ascii="楷体" w:hAnsi="楷体" w:eastAsia="楷体"/>
          <w:bCs/>
          <w:color w:val="000000"/>
          <w:sz w:val="44"/>
          <w:szCs w:val="44"/>
        </w:rPr>
        <w:t>（责任单位：省发展改革委、省委社会工作部、省工业和信息化厅、省工商联、省直相关部门）</w:t>
      </w:r>
    </w:p>
    <w:p w14:paraId="69E33327">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二十三、加大</w:t>
      </w:r>
      <w:r>
        <w:rPr>
          <w:rFonts w:hint="eastAsia" w:ascii="黑体" w:hAnsi="黑体" w:eastAsia="黑体"/>
          <w:bCs/>
          <w:color w:val="000000"/>
          <w:sz w:val="44"/>
          <w:szCs w:val="44"/>
        </w:rPr>
        <w:t>“两</w:t>
      </w:r>
      <w:r>
        <w:rPr>
          <w:rFonts w:ascii="黑体" w:hAnsi="黑体" w:eastAsia="黑体"/>
          <w:bCs/>
          <w:color w:val="000000"/>
          <w:sz w:val="44"/>
          <w:szCs w:val="44"/>
        </w:rPr>
        <w:t>欠</w:t>
      </w:r>
      <w:r>
        <w:rPr>
          <w:rFonts w:hint="eastAsia" w:ascii="黑体" w:hAnsi="黑体" w:eastAsia="黑体"/>
          <w:bCs/>
          <w:color w:val="000000"/>
          <w:sz w:val="44"/>
          <w:szCs w:val="44"/>
        </w:rPr>
        <w:t>”清理</w:t>
      </w:r>
      <w:r>
        <w:rPr>
          <w:rFonts w:ascii="黑体" w:hAnsi="黑体" w:eastAsia="黑体"/>
          <w:bCs/>
          <w:color w:val="000000"/>
          <w:sz w:val="44"/>
          <w:szCs w:val="44"/>
        </w:rPr>
        <w:t>力度。</w:t>
      </w:r>
      <w:r>
        <w:rPr>
          <w:rStyle w:val="13"/>
          <w:rFonts w:ascii="仿宋" w:hAnsi="仿宋" w:eastAsia="仿宋_GB2312"/>
          <w:bCs/>
          <w:color w:val="000000"/>
          <w:sz w:val="44"/>
          <w:szCs w:val="44"/>
        </w:rPr>
        <w:t>深入开展连环债清偿改革，搭建覆盖机关、事业单位、国有企业、民营企业之间相互拖欠账款的统计系统。加强《保障中小企业款项支付条例》普法宣贯，增强机关、事业单位和大型企业及时支付中小企业账款意识，</w:t>
      </w:r>
      <w:r>
        <w:rPr>
          <w:rStyle w:val="13"/>
          <w:rFonts w:eastAsia="仿宋_GB2312"/>
          <w:bCs/>
          <w:color w:val="000000"/>
          <w:sz w:val="44"/>
          <w:szCs w:val="44"/>
        </w:rPr>
        <w:t>2025</w:t>
      </w:r>
      <w:r>
        <w:rPr>
          <w:rStyle w:val="13"/>
          <w:rFonts w:ascii="仿宋" w:hAnsi="仿宋" w:eastAsia="仿宋_GB2312"/>
          <w:bCs/>
          <w:color w:val="000000"/>
          <w:sz w:val="44"/>
          <w:szCs w:val="44"/>
        </w:rPr>
        <w:t>年、</w:t>
      </w:r>
      <w:r>
        <w:rPr>
          <w:rStyle w:val="13"/>
          <w:rFonts w:eastAsia="仿宋_GB2312"/>
          <w:bCs/>
          <w:color w:val="000000"/>
          <w:sz w:val="44"/>
          <w:szCs w:val="44"/>
        </w:rPr>
        <w:t>2026</w:t>
      </w:r>
      <w:r>
        <w:rPr>
          <w:rStyle w:val="13"/>
          <w:rFonts w:ascii="仿宋" w:hAnsi="仿宋" w:eastAsia="仿宋_GB2312"/>
          <w:bCs/>
          <w:color w:val="000000"/>
          <w:sz w:val="44"/>
          <w:szCs w:val="44"/>
        </w:rPr>
        <w:t>年，台账内拖欠企业账款化解率分别达到</w:t>
      </w:r>
      <w:r>
        <w:rPr>
          <w:rStyle w:val="13"/>
          <w:rFonts w:eastAsia="仿宋_GB2312"/>
          <w:bCs/>
          <w:color w:val="000000"/>
          <w:sz w:val="44"/>
          <w:szCs w:val="44"/>
        </w:rPr>
        <w:t>40%</w:t>
      </w:r>
      <w:r>
        <w:rPr>
          <w:rStyle w:val="13"/>
          <w:rFonts w:ascii="仿宋" w:hAnsi="仿宋" w:eastAsia="仿宋_GB2312"/>
          <w:bCs/>
          <w:color w:val="000000"/>
          <w:sz w:val="44"/>
          <w:szCs w:val="44"/>
        </w:rPr>
        <w:t>、</w:t>
      </w:r>
      <w:r>
        <w:rPr>
          <w:rStyle w:val="13"/>
          <w:rFonts w:eastAsia="仿宋_GB2312"/>
          <w:bCs/>
          <w:color w:val="000000"/>
          <w:sz w:val="44"/>
          <w:szCs w:val="44"/>
        </w:rPr>
        <w:t>80%</w:t>
      </w:r>
      <w:r>
        <w:rPr>
          <w:rStyle w:val="13"/>
          <w:rFonts w:ascii="仿宋" w:hAnsi="仿宋" w:eastAsia="仿宋_GB2312"/>
          <w:bCs/>
          <w:color w:val="000000"/>
          <w:sz w:val="44"/>
          <w:szCs w:val="44"/>
        </w:rPr>
        <w:t>，</w:t>
      </w:r>
      <w:r>
        <w:rPr>
          <w:rStyle w:val="13"/>
          <w:rFonts w:eastAsia="仿宋_GB2312"/>
          <w:bCs/>
          <w:color w:val="000000"/>
          <w:sz w:val="44"/>
          <w:szCs w:val="44"/>
        </w:rPr>
        <w:t>2027</w:t>
      </w:r>
      <w:r>
        <w:rPr>
          <w:rStyle w:val="13"/>
          <w:rFonts w:ascii="仿宋" w:hAnsi="仿宋" w:eastAsia="仿宋_GB2312"/>
          <w:bCs/>
          <w:color w:val="000000"/>
          <w:sz w:val="44"/>
          <w:szCs w:val="44"/>
        </w:rPr>
        <w:t>年确保台账内账款“清零”。依托省保障农民工工资支付监控预警平台，动态监控全省在建工程项目，全力保障农民工工资支付，实现投诉举报欠薪问题动态清零。组织对连环债清偿工作情况开展专项审计调查。</w:t>
      </w:r>
      <w:r>
        <w:rPr>
          <w:rFonts w:ascii="楷体" w:hAnsi="楷体" w:eastAsia="楷体"/>
          <w:bCs/>
          <w:color w:val="000000"/>
          <w:sz w:val="44"/>
          <w:szCs w:val="44"/>
        </w:rPr>
        <w:t>（责任单位：省委金融办、省工业和信息化厅、省财政厅、省人力资源社会保障厅、省审计厅、省国资委、省直相关部门）</w:t>
      </w:r>
    </w:p>
    <w:p w14:paraId="3362549E">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二十四、加快拖欠企业账款案件执行。</w:t>
      </w:r>
      <w:r>
        <w:rPr>
          <w:rStyle w:val="13"/>
          <w:rFonts w:ascii="仿宋" w:hAnsi="仿宋" w:eastAsia="仿宋_GB2312"/>
          <w:bCs/>
          <w:color w:val="000000"/>
          <w:sz w:val="44"/>
          <w:szCs w:val="44"/>
        </w:rPr>
        <w:t>对全省涉党政机关拖欠企业账款执行案件摸底建账、分类施策</w:t>
      </w:r>
      <w:r>
        <w:rPr>
          <w:rStyle w:val="13"/>
          <w:rFonts w:hint="eastAsia" w:ascii="仿宋" w:hAnsi="仿宋" w:eastAsia="仿宋_GB2312"/>
          <w:bCs/>
          <w:color w:val="000000"/>
          <w:sz w:val="44"/>
          <w:szCs w:val="44"/>
        </w:rPr>
        <w:t>，</w:t>
      </w:r>
      <w:r>
        <w:rPr>
          <w:rStyle w:val="13"/>
          <w:rFonts w:ascii="仿宋" w:hAnsi="仿宋" w:eastAsia="仿宋_GB2312"/>
          <w:bCs/>
          <w:color w:val="000000"/>
          <w:sz w:val="44"/>
          <w:szCs w:val="44"/>
        </w:rPr>
        <w:t>探索建立“执行督促、失职惩处、考评约束”的工作机制，推动已生效判决存量案件三年内清零。对拒不执行生效判决的地方政府及相关部门主要负责人严肃追责问责。</w:t>
      </w:r>
      <w:r>
        <w:rPr>
          <w:rFonts w:ascii="楷体" w:hAnsi="楷体" w:eastAsia="楷体"/>
          <w:bCs/>
          <w:color w:val="000000"/>
          <w:sz w:val="44"/>
          <w:szCs w:val="44"/>
        </w:rPr>
        <w:t>（责任单位：省委政法委、省高级人民法院、省直相关部门）</w:t>
      </w:r>
    </w:p>
    <w:p w14:paraId="338FCEF8">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二十五、</w:t>
      </w:r>
      <w:r>
        <w:rPr>
          <w:rFonts w:hint="eastAsia" w:ascii="黑体" w:hAnsi="黑体" w:eastAsia="黑体"/>
          <w:bCs/>
          <w:color w:val="000000"/>
          <w:sz w:val="44"/>
          <w:szCs w:val="44"/>
        </w:rPr>
        <w:t>用好</w:t>
      </w:r>
      <w:r>
        <w:rPr>
          <w:rFonts w:ascii="黑体" w:hAnsi="黑体" w:eastAsia="黑体"/>
          <w:bCs/>
          <w:color w:val="000000"/>
          <w:sz w:val="44"/>
          <w:szCs w:val="44"/>
        </w:rPr>
        <w:t>企业破产处置府院协调机制</w:t>
      </w:r>
      <w:r>
        <w:rPr>
          <w:rFonts w:hint="eastAsia" w:ascii="黑体" w:hAnsi="黑体" w:eastAsia="黑体"/>
          <w:bCs/>
          <w:color w:val="000000"/>
          <w:sz w:val="44"/>
          <w:szCs w:val="44"/>
        </w:rPr>
        <w:t>。</w:t>
      </w:r>
      <w:r>
        <w:rPr>
          <w:rStyle w:val="13"/>
          <w:rFonts w:ascii="仿宋" w:hAnsi="仿宋" w:eastAsia="仿宋_GB2312"/>
          <w:bCs/>
          <w:color w:val="000000"/>
          <w:sz w:val="44"/>
          <w:szCs w:val="44"/>
        </w:rPr>
        <w:t>搭建一体化府院联动工作平台，保证机制常态化运行，及时协调解决企业破产处置涉及的职工工资、社保、税收、信用修复、证照办理、注销、土地规划、投资招募、信访维稳等相关问题，提升破产处置效率。</w:t>
      </w:r>
      <w:r>
        <w:rPr>
          <w:rFonts w:ascii="楷体" w:hAnsi="楷体" w:eastAsia="楷体"/>
          <w:bCs/>
          <w:color w:val="000000"/>
          <w:sz w:val="44"/>
          <w:szCs w:val="44"/>
        </w:rPr>
        <w:t>（责任单位：省高级人民法院、省直相关部门）</w:t>
      </w:r>
    </w:p>
    <w:p w14:paraId="4E1E4187">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二十六、</w:t>
      </w:r>
      <w:r>
        <w:rPr>
          <w:rFonts w:hint="eastAsia" w:ascii="黑体" w:hAnsi="黑体" w:eastAsia="黑体"/>
          <w:bCs/>
          <w:color w:val="000000"/>
          <w:sz w:val="44"/>
          <w:szCs w:val="44"/>
        </w:rPr>
        <w:t>加强</w:t>
      </w:r>
      <w:r>
        <w:rPr>
          <w:rFonts w:ascii="黑体" w:hAnsi="黑体" w:eastAsia="黑体"/>
          <w:bCs/>
          <w:color w:val="000000"/>
          <w:sz w:val="44"/>
          <w:szCs w:val="44"/>
        </w:rPr>
        <w:t>政府</w:t>
      </w:r>
      <w:r>
        <w:rPr>
          <w:rFonts w:hint="eastAsia" w:ascii="黑体" w:hAnsi="黑体" w:eastAsia="黑体"/>
          <w:bCs/>
          <w:color w:val="000000"/>
          <w:sz w:val="44"/>
          <w:szCs w:val="44"/>
        </w:rPr>
        <w:t>违约</w:t>
      </w:r>
      <w:r>
        <w:rPr>
          <w:rFonts w:ascii="黑体" w:hAnsi="黑体" w:eastAsia="黑体"/>
          <w:bCs/>
          <w:color w:val="000000"/>
          <w:sz w:val="44"/>
          <w:szCs w:val="44"/>
        </w:rPr>
        <w:t>失信问题治理。</w:t>
      </w:r>
      <w:r>
        <w:rPr>
          <w:rStyle w:val="13"/>
          <w:rFonts w:ascii="仿宋" w:hAnsi="仿宋" w:eastAsia="仿宋_GB2312"/>
          <w:bCs/>
          <w:color w:val="000000"/>
          <w:sz w:val="44"/>
          <w:szCs w:val="44"/>
        </w:rPr>
        <w:t>畅通政府违约失信投诉渠道，建立违约失信信息源头获取和认定机制，</w:t>
      </w:r>
      <w:r>
        <w:rPr>
          <w:rStyle w:val="13"/>
          <w:rFonts w:hint="eastAsia" w:ascii="仿宋" w:hAnsi="仿宋" w:eastAsia="仿宋_GB2312"/>
          <w:bCs/>
          <w:color w:val="000000"/>
          <w:sz w:val="44"/>
          <w:szCs w:val="44"/>
        </w:rPr>
        <w:t>将</w:t>
      </w:r>
      <w:r>
        <w:rPr>
          <w:rStyle w:val="13"/>
          <w:rFonts w:ascii="仿宋" w:hAnsi="仿宋" w:eastAsia="仿宋_GB2312"/>
          <w:bCs/>
          <w:color w:val="000000"/>
          <w:sz w:val="44"/>
          <w:szCs w:val="44"/>
        </w:rPr>
        <w:t>按程序认定的拖欠企业账款失信情形记入相关主体信用记录。健全政府机构失信惩戒制度，将相关情况纳入营商环境指标监测。</w:t>
      </w:r>
      <w:r>
        <w:rPr>
          <w:rFonts w:ascii="楷体" w:hAnsi="楷体" w:eastAsia="楷体"/>
          <w:bCs/>
          <w:color w:val="000000"/>
          <w:sz w:val="44"/>
          <w:szCs w:val="44"/>
        </w:rPr>
        <w:t>（责任单位：省发展改革委、省高级人民法院、省工业和信息化厅、省商务厅）</w:t>
      </w:r>
    </w:p>
    <w:p w14:paraId="26B6E8A9">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二十七、</w:t>
      </w:r>
      <w:r>
        <w:rPr>
          <w:rFonts w:hint="eastAsia" w:ascii="黑体" w:hAnsi="黑体" w:eastAsia="黑体"/>
          <w:bCs/>
          <w:color w:val="000000"/>
          <w:sz w:val="44"/>
          <w:szCs w:val="44"/>
        </w:rPr>
        <w:t>提升</w:t>
      </w:r>
      <w:r>
        <w:rPr>
          <w:rFonts w:ascii="黑体" w:hAnsi="黑体" w:eastAsia="黑体"/>
          <w:bCs/>
          <w:color w:val="000000"/>
          <w:sz w:val="44"/>
          <w:szCs w:val="44"/>
        </w:rPr>
        <w:t>贸易便利</w:t>
      </w:r>
      <w:r>
        <w:rPr>
          <w:rFonts w:hint="eastAsia" w:ascii="黑体" w:hAnsi="黑体" w:eastAsia="黑体"/>
          <w:bCs/>
          <w:color w:val="000000"/>
          <w:sz w:val="44"/>
          <w:szCs w:val="44"/>
        </w:rPr>
        <w:t>化水平</w:t>
      </w:r>
      <w:r>
        <w:rPr>
          <w:rFonts w:ascii="黑体" w:hAnsi="黑体" w:eastAsia="黑体"/>
          <w:bCs/>
          <w:color w:val="000000"/>
          <w:sz w:val="44"/>
          <w:szCs w:val="44"/>
        </w:rPr>
        <w:t>。</w:t>
      </w:r>
      <w:r>
        <w:rPr>
          <w:rStyle w:val="13"/>
          <w:rFonts w:ascii="仿宋" w:hAnsi="仿宋" w:eastAsia="仿宋_GB2312"/>
          <w:bCs/>
          <w:color w:val="000000"/>
          <w:sz w:val="44"/>
          <w:szCs w:val="44"/>
        </w:rPr>
        <w:t>推进“智慧海关”建设，提升“关银一</w:t>
      </w:r>
      <w:r>
        <w:rPr>
          <w:rStyle w:val="13"/>
          <w:rFonts w:eastAsia="仿宋_GB2312"/>
          <w:bCs/>
          <w:color w:val="000000"/>
          <w:sz w:val="44"/>
          <w:szCs w:val="44"/>
        </w:rPr>
        <w:t>KEY</w:t>
      </w:r>
      <w:r>
        <w:rPr>
          <w:rStyle w:val="13"/>
          <w:rFonts w:ascii="仿宋" w:hAnsi="仿宋" w:eastAsia="仿宋_GB2312"/>
          <w:bCs/>
          <w:color w:val="000000"/>
          <w:sz w:val="44"/>
          <w:szCs w:val="44"/>
        </w:rPr>
        <w:t>通”业务推广应用效果。加强跨区域通关协作，深化“跨境一锁”和果蔬“拼装+集中申报”等改革。开展税政调研，积极推广多元化税收担保，扩大“内河运费扣减”等创新举措成效。</w:t>
      </w:r>
      <w:r>
        <w:rPr>
          <w:rFonts w:ascii="楷体" w:hAnsi="楷体" w:eastAsia="楷体"/>
          <w:bCs/>
          <w:color w:val="000000"/>
          <w:sz w:val="44"/>
          <w:szCs w:val="44"/>
        </w:rPr>
        <w:t>（责任单位：长沙海关、省商务厅）</w:t>
      </w:r>
    </w:p>
    <w:p w14:paraId="1F2F2D1A">
      <w:pPr>
        <w:overflowPunct w:val="0"/>
        <w:adjustRightInd w:val="0"/>
        <w:snapToGrid w:val="0"/>
        <w:spacing w:line="660" w:lineRule="exact"/>
        <w:ind w:firstLine="880" w:firstLineChars="200"/>
        <w:rPr>
          <w:rFonts w:ascii="楷体" w:hAnsi="楷体" w:eastAsia="楷体"/>
          <w:bCs/>
          <w:color w:val="000000"/>
          <w:sz w:val="44"/>
          <w:szCs w:val="44"/>
        </w:rPr>
      </w:pPr>
      <w:r>
        <w:rPr>
          <w:rFonts w:ascii="黑体" w:hAnsi="黑体" w:eastAsia="黑体"/>
          <w:bCs/>
          <w:color w:val="000000"/>
          <w:sz w:val="44"/>
          <w:szCs w:val="44"/>
        </w:rPr>
        <w:t>二十</w:t>
      </w:r>
      <w:r>
        <w:rPr>
          <w:rFonts w:hint="eastAsia" w:ascii="黑体" w:hAnsi="黑体" w:eastAsia="黑体"/>
          <w:bCs/>
          <w:color w:val="000000"/>
          <w:sz w:val="44"/>
          <w:szCs w:val="44"/>
        </w:rPr>
        <w:t>八</w:t>
      </w:r>
      <w:r>
        <w:rPr>
          <w:rFonts w:ascii="黑体" w:hAnsi="黑体" w:eastAsia="黑体"/>
          <w:bCs/>
          <w:color w:val="000000"/>
          <w:sz w:val="44"/>
          <w:szCs w:val="44"/>
        </w:rPr>
        <w:t>、</w:t>
      </w:r>
      <w:r>
        <w:rPr>
          <w:rFonts w:hint="eastAsia" w:ascii="黑体" w:hAnsi="黑体" w:eastAsia="黑体"/>
          <w:bCs/>
          <w:color w:val="000000"/>
          <w:sz w:val="44"/>
          <w:szCs w:val="44"/>
        </w:rPr>
        <w:t>优化外贸外资</w:t>
      </w:r>
      <w:r>
        <w:rPr>
          <w:rFonts w:ascii="黑体" w:hAnsi="黑体" w:eastAsia="黑体"/>
          <w:bCs/>
          <w:color w:val="000000"/>
          <w:sz w:val="44"/>
          <w:szCs w:val="44"/>
        </w:rPr>
        <w:t>服务。</w:t>
      </w:r>
      <w:r>
        <w:rPr>
          <w:rStyle w:val="13"/>
          <w:rFonts w:ascii="仿宋" w:hAnsi="仿宋" w:eastAsia="仿宋_GB2312"/>
          <w:bCs/>
          <w:color w:val="000000"/>
          <w:sz w:val="44"/>
          <w:szCs w:val="44"/>
        </w:rPr>
        <w:t>支持企业参加境内外国际性展会，每年更新出台湖南省重点境外展会目录，对企业参加目录内展会给予不超过</w:t>
      </w:r>
      <w:r>
        <w:rPr>
          <w:rStyle w:val="13"/>
          <w:rFonts w:eastAsia="仿宋_GB2312"/>
          <w:bCs/>
          <w:color w:val="000000"/>
          <w:sz w:val="44"/>
          <w:szCs w:val="44"/>
        </w:rPr>
        <w:t>70%</w:t>
      </w:r>
      <w:r>
        <w:rPr>
          <w:rStyle w:val="13"/>
          <w:rFonts w:ascii="仿宋" w:hAnsi="仿宋" w:eastAsia="仿宋_GB2312"/>
          <w:bCs/>
          <w:color w:val="000000"/>
          <w:sz w:val="44"/>
          <w:szCs w:val="44"/>
        </w:rPr>
        <w:t>展位费、单个企业不超过</w:t>
      </w:r>
      <w:r>
        <w:rPr>
          <w:rStyle w:val="13"/>
          <w:rFonts w:eastAsia="仿宋_GB2312"/>
          <w:bCs/>
          <w:color w:val="000000"/>
          <w:sz w:val="44"/>
          <w:szCs w:val="44"/>
        </w:rPr>
        <w:t>100</w:t>
      </w:r>
      <w:r>
        <w:rPr>
          <w:rStyle w:val="13"/>
          <w:rFonts w:ascii="仿宋" w:hAnsi="仿宋" w:eastAsia="仿宋_GB2312"/>
          <w:bCs/>
          <w:color w:val="000000"/>
          <w:sz w:val="44"/>
          <w:szCs w:val="44"/>
        </w:rPr>
        <w:t>万元的支持。持续办好湖南与粤港澳大湾区、长三角地区、欧美地区的境内外经贸交流活动，不定期组织经贸代表团赴海外进行精准招商推介，持续打造“投资湖南”品牌。落实《优化外籍人士来湘创新创业环境八大举措》，畅通外籍人士来湘创新创业渠道，为外籍人士在湘工作、生活、医疗、教育提供便利。</w:t>
      </w:r>
      <w:r>
        <w:rPr>
          <w:rFonts w:ascii="楷体" w:hAnsi="楷体" w:eastAsia="楷体"/>
          <w:bCs/>
          <w:color w:val="000000"/>
          <w:sz w:val="44"/>
          <w:szCs w:val="44"/>
        </w:rPr>
        <w:t>（责任单位：省商务厅、省直相关部门）</w:t>
      </w:r>
    </w:p>
    <w:p w14:paraId="07A608EC">
      <w:pPr>
        <w:overflowPunct w:val="0"/>
        <w:adjustRightInd w:val="0"/>
        <w:snapToGrid w:val="0"/>
        <w:spacing w:line="660" w:lineRule="exact"/>
        <w:ind w:firstLine="880" w:firstLineChars="200"/>
        <w:rPr>
          <w:rFonts w:ascii="仿宋" w:hAnsi="仿宋" w:eastAsia="仿宋"/>
          <w:bCs/>
          <w:color w:val="000000"/>
          <w:sz w:val="44"/>
          <w:szCs w:val="44"/>
        </w:rPr>
      </w:pPr>
      <w:r>
        <w:rPr>
          <w:rFonts w:ascii="黑体" w:hAnsi="黑体" w:eastAsia="黑体"/>
          <w:bCs/>
          <w:color w:val="000000"/>
          <w:sz w:val="44"/>
          <w:szCs w:val="44"/>
        </w:rPr>
        <w:t>二十</w:t>
      </w:r>
      <w:r>
        <w:rPr>
          <w:rFonts w:hint="eastAsia" w:ascii="黑体" w:hAnsi="黑体" w:eastAsia="黑体"/>
          <w:bCs/>
          <w:color w:val="000000"/>
          <w:sz w:val="44"/>
          <w:szCs w:val="44"/>
        </w:rPr>
        <w:t>九</w:t>
      </w:r>
      <w:r>
        <w:rPr>
          <w:rFonts w:ascii="黑体" w:hAnsi="黑体" w:eastAsia="黑体"/>
          <w:bCs/>
          <w:color w:val="000000"/>
          <w:sz w:val="44"/>
          <w:szCs w:val="44"/>
        </w:rPr>
        <w:t>、审慎认定责任。</w:t>
      </w:r>
      <w:r>
        <w:rPr>
          <w:rStyle w:val="13"/>
          <w:rFonts w:hint="eastAsia" w:ascii="仿宋" w:hAnsi="仿宋" w:eastAsia="仿宋_GB2312"/>
          <w:bCs/>
          <w:color w:val="000000"/>
          <w:sz w:val="44"/>
          <w:szCs w:val="44"/>
        </w:rPr>
        <w:t>坚持</w:t>
      </w:r>
      <w:r>
        <w:rPr>
          <w:rStyle w:val="13"/>
          <w:rFonts w:ascii="仿宋" w:hAnsi="仿宋" w:eastAsia="仿宋_GB2312"/>
          <w:bCs/>
          <w:color w:val="000000"/>
          <w:sz w:val="44"/>
          <w:szCs w:val="44"/>
        </w:rPr>
        <w:t>“三个区分开来”，从政策合规性、决策程序、后果严重性等维度，切实维护被审计单位的合法权益</w:t>
      </w:r>
      <w:r>
        <w:rPr>
          <w:rStyle w:val="13"/>
          <w:rFonts w:hint="eastAsia" w:ascii="仿宋" w:hAnsi="仿宋" w:eastAsia="仿宋_GB2312"/>
          <w:bCs/>
          <w:color w:val="000000"/>
          <w:sz w:val="44"/>
          <w:szCs w:val="44"/>
        </w:rPr>
        <w:t>。对在</w:t>
      </w:r>
      <w:r>
        <w:rPr>
          <w:rStyle w:val="13"/>
          <w:rFonts w:ascii="仿宋" w:hAnsi="仿宋" w:eastAsia="仿宋_GB2312"/>
          <w:bCs/>
          <w:color w:val="000000"/>
          <w:sz w:val="44"/>
          <w:szCs w:val="44"/>
        </w:rPr>
        <w:t>推进重大决策部署、</w:t>
      </w:r>
      <w:r>
        <w:rPr>
          <w:rStyle w:val="13"/>
          <w:rFonts w:hint="eastAsia" w:ascii="仿宋" w:hAnsi="仿宋" w:eastAsia="仿宋_GB2312"/>
          <w:bCs/>
          <w:color w:val="000000"/>
          <w:sz w:val="44"/>
          <w:szCs w:val="44"/>
        </w:rPr>
        <w:t>主动</w:t>
      </w:r>
      <w:r>
        <w:rPr>
          <w:rStyle w:val="13"/>
          <w:rFonts w:ascii="仿宋" w:hAnsi="仿宋" w:eastAsia="仿宋_GB2312"/>
          <w:bCs/>
          <w:color w:val="000000"/>
          <w:sz w:val="44"/>
          <w:szCs w:val="44"/>
        </w:rPr>
        <w:t>改革创新等</w:t>
      </w:r>
      <w:r>
        <w:rPr>
          <w:rStyle w:val="13"/>
          <w:rFonts w:hint="eastAsia" w:ascii="仿宋" w:hAnsi="仿宋" w:eastAsia="仿宋_GB2312"/>
          <w:bCs/>
          <w:color w:val="000000"/>
          <w:sz w:val="44"/>
          <w:szCs w:val="44"/>
        </w:rPr>
        <w:t>过程</w:t>
      </w:r>
      <w:r>
        <w:rPr>
          <w:rStyle w:val="13"/>
          <w:rFonts w:ascii="仿宋" w:hAnsi="仿宋" w:eastAsia="仿宋_GB2312"/>
          <w:bCs/>
          <w:color w:val="000000"/>
          <w:sz w:val="44"/>
          <w:szCs w:val="44"/>
        </w:rPr>
        <w:t>中，符合无意过失、非谋私利等条件</w:t>
      </w:r>
      <w:r>
        <w:rPr>
          <w:rStyle w:val="13"/>
          <w:rFonts w:hint="eastAsia" w:ascii="仿宋" w:hAnsi="仿宋" w:eastAsia="仿宋_GB2312"/>
          <w:bCs/>
          <w:color w:val="000000"/>
          <w:sz w:val="44"/>
          <w:szCs w:val="44"/>
        </w:rPr>
        <w:t>的</w:t>
      </w:r>
      <w:r>
        <w:rPr>
          <w:rStyle w:val="13"/>
          <w:rFonts w:ascii="仿宋" w:hAnsi="仿宋" w:eastAsia="仿宋_GB2312"/>
          <w:bCs/>
          <w:color w:val="000000"/>
          <w:sz w:val="44"/>
          <w:szCs w:val="44"/>
        </w:rPr>
        <w:t>，审慎认定责任。</w:t>
      </w:r>
      <w:r>
        <w:rPr>
          <w:rFonts w:ascii="楷体" w:hAnsi="楷体" w:eastAsia="楷体"/>
          <w:bCs/>
          <w:color w:val="000000"/>
          <w:sz w:val="44"/>
          <w:szCs w:val="44"/>
        </w:rPr>
        <w:t>（责任单位：</w:t>
      </w:r>
      <w:r>
        <w:rPr>
          <w:rFonts w:hint="eastAsia" w:ascii="楷体" w:hAnsi="楷体" w:eastAsia="楷体"/>
          <w:bCs/>
          <w:color w:val="000000"/>
          <w:sz w:val="44"/>
          <w:szCs w:val="44"/>
        </w:rPr>
        <w:t>省纪委监委、省委组织部、</w:t>
      </w:r>
      <w:r>
        <w:rPr>
          <w:rFonts w:ascii="楷体" w:hAnsi="楷体" w:eastAsia="楷体"/>
          <w:bCs/>
          <w:color w:val="000000"/>
          <w:sz w:val="44"/>
          <w:szCs w:val="44"/>
        </w:rPr>
        <w:t>省审计厅）</w:t>
      </w:r>
    </w:p>
    <w:p w14:paraId="4299734D">
      <w:pPr>
        <w:overflowPunct w:val="0"/>
        <w:adjustRightInd w:val="0"/>
        <w:snapToGrid w:val="0"/>
        <w:spacing w:line="660" w:lineRule="exact"/>
        <w:ind w:firstLine="880" w:firstLineChars="200"/>
        <w:rPr>
          <w:rFonts w:eastAsia="黑体"/>
          <w:sz w:val="52"/>
          <w:szCs w:val="52"/>
        </w:rPr>
      </w:pPr>
      <w:r>
        <w:rPr>
          <w:rStyle w:val="13"/>
          <w:rFonts w:ascii="仿宋" w:hAnsi="仿宋" w:eastAsia="仿宋_GB2312"/>
          <w:bCs/>
          <w:color w:val="000000"/>
          <w:sz w:val="44"/>
          <w:szCs w:val="44"/>
        </w:rPr>
        <w:t>各级各部门</w:t>
      </w:r>
      <w:r>
        <w:rPr>
          <w:rStyle w:val="13"/>
          <w:rFonts w:hint="eastAsia" w:ascii="仿宋" w:hAnsi="仿宋" w:eastAsia="仿宋_GB2312"/>
          <w:bCs/>
          <w:color w:val="000000"/>
          <w:sz w:val="44"/>
          <w:szCs w:val="44"/>
        </w:rPr>
        <w:t>要</w:t>
      </w:r>
      <w:r>
        <w:rPr>
          <w:rStyle w:val="13"/>
          <w:rFonts w:ascii="仿宋" w:hAnsi="仿宋" w:eastAsia="仿宋_GB2312"/>
          <w:bCs/>
          <w:color w:val="000000"/>
          <w:sz w:val="44"/>
          <w:szCs w:val="44"/>
        </w:rPr>
        <w:t>按照责任分工，细化分解任务，研究制定贯彻落实</w:t>
      </w:r>
      <w:r>
        <w:rPr>
          <w:rStyle w:val="13"/>
          <w:rFonts w:hint="eastAsia" w:ascii="仿宋" w:hAnsi="仿宋" w:eastAsia="仿宋_GB2312"/>
          <w:bCs/>
          <w:color w:val="000000"/>
          <w:sz w:val="44"/>
          <w:szCs w:val="44"/>
        </w:rPr>
        <w:t>的</w:t>
      </w:r>
      <w:r>
        <w:rPr>
          <w:rStyle w:val="13"/>
          <w:rFonts w:ascii="仿宋" w:hAnsi="仿宋" w:eastAsia="仿宋_GB2312"/>
          <w:bCs/>
          <w:color w:val="000000"/>
          <w:sz w:val="44"/>
          <w:szCs w:val="44"/>
        </w:rPr>
        <w:t>具体政策措施。省级层面</w:t>
      </w:r>
      <w:r>
        <w:rPr>
          <w:rStyle w:val="13"/>
          <w:rFonts w:hint="eastAsia" w:ascii="仿宋" w:hAnsi="仿宋" w:eastAsia="仿宋_GB2312"/>
          <w:bCs/>
          <w:color w:val="000000"/>
          <w:sz w:val="44"/>
          <w:szCs w:val="44"/>
        </w:rPr>
        <w:t>要</w:t>
      </w:r>
      <w:r>
        <w:rPr>
          <w:rStyle w:val="13"/>
          <w:rFonts w:ascii="仿宋" w:hAnsi="仿宋" w:eastAsia="仿宋_GB2312"/>
          <w:bCs/>
          <w:color w:val="000000"/>
          <w:sz w:val="44"/>
          <w:szCs w:val="44"/>
        </w:rPr>
        <w:t>建立效能评估“回头看”闭环管理机制，检验评估落实效果。</w:t>
      </w:r>
    </w:p>
    <w:p w14:paraId="7F8D43DF">
      <w:pPr>
        <w:overflowPunct w:val="0"/>
        <w:adjustRightInd w:val="0"/>
        <w:snapToGrid w:val="0"/>
        <w:spacing w:line="660" w:lineRule="exact"/>
        <w:rPr>
          <w:rFonts w:eastAsia="黑体"/>
          <w:sz w:val="44"/>
          <w:szCs w:val="44"/>
        </w:rPr>
      </w:pPr>
    </w:p>
    <w:p w14:paraId="53F7F65A">
      <w:pPr>
        <w:pStyle w:val="2"/>
        <w:spacing w:line="20" w:lineRule="exact"/>
      </w:pPr>
    </w:p>
    <w:sectPr>
      <w:footerReference r:id="rId3" w:type="default"/>
      <w:footerReference r:id="rId4" w:type="even"/>
      <w:pgSz w:w="11906" w:h="16838"/>
      <w:pgMar w:top="1871" w:right="1531" w:bottom="1531" w:left="1588"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C0CA8B-27C5-4865-8F9C-9BCE0112C6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818E54-0F8C-4609-BA0F-81F246003A56}"/>
  </w:font>
  <w:font w:name="Calibri Light">
    <w:panose1 w:val="020F0302020204030204"/>
    <w:charset w:val="00"/>
    <w:family w:val="swiss"/>
    <w:pitch w:val="default"/>
    <w:sig w:usb0="E4002EFF" w:usb1="C000247B" w:usb2="00000009" w:usb3="00000000" w:csb0="200001FF" w:csb1="00000000"/>
    <w:embedRegular r:id="rId3" w:fontKey="{3FDA74FF-08E4-43A9-95DC-A378FD75C17A}"/>
  </w:font>
  <w:font w:name="仿宋_GB2312">
    <w:altName w:val="仿宋"/>
    <w:panose1 w:val="02010609030101010101"/>
    <w:charset w:val="86"/>
    <w:family w:val="modern"/>
    <w:pitch w:val="default"/>
    <w:sig w:usb0="00000000" w:usb1="00000000" w:usb2="00000010" w:usb3="00000000" w:csb0="00040000" w:csb1="00000000"/>
    <w:embedRegular r:id="rId4" w:fontKey="{D565CBBD-81EA-4454-9BFF-DDD394D3BFCD}"/>
  </w:font>
  <w:font w:name="方正小标宋简体">
    <w:panose1 w:val="02000000000000000000"/>
    <w:charset w:val="86"/>
    <w:family w:val="script"/>
    <w:pitch w:val="default"/>
    <w:sig w:usb0="00000001" w:usb1="08000000" w:usb2="00000000" w:usb3="00000000" w:csb0="00040000" w:csb1="00000000"/>
    <w:embedRegular r:id="rId5" w:fontKey="{A806A075-C15E-466E-9B65-A82ABD9A0D0B}"/>
  </w:font>
  <w:font w:name="仿宋">
    <w:panose1 w:val="02010609060101010101"/>
    <w:charset w:val="86"/>
    <w:family w:val="modern"/>
    <w:pitch w:val="default"/>
    <w:sig w:usb0="800002BF" w:usb1="38CF7CFA" w:usb2="00000016" w:usb3="00000000" w:csb0="00040001" w:csb1="00000000"/>
    <w:embedRegular r:id="rId6" w:fontKey="{6B0F018B-96F3-4613-A61D-AC6DDAF564EB}"/>
  </w:font>
  <w:font w:name="楷体">
    <w:panose1 w:val="02010609060101010101"/>
    <w:charset w:val="86"/>
    <w:family w:val="modern"/>
    <w:pitch w:val="default"/>
    <w:sig w:usb0="800002BF" w:usb1="38CF7CFA" w:usb2="00000016" w:usb3="00000000" w:csb0="00040001" w:csb1="00000000"/>
    <w:embedRegular r:id="rId7" w:fontKey="{91BE9EF9-52B3-46FD-91A1-0260AF96E6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0A1C7">
    <w:pPr>
      <w:pStyle w:val="5"/>
      <w:ind w:right="360" w:firstLine="360"/>
      <w:jc w:val="right"/>
      <w:rPr>
        <w:sz w:val="28"/>
        <w:szCs w:val="28"/>
      </w:rPr>
    </w:pPr>
    <w:r>
      <w:rPr>
        <w:sz w:val="2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path/>
          <v:fill on="f" focussize="0,0"/>
          <v:stroke on="f" weight="0.5pt" joinstyle="miter"/>
          <v:imagedata o:title=""/>
          <o:lock v:ext="edit"/>
          <v:textbox inset="0mm,0mm,0mm,0mm" style="mso-fit-shape-to-text:t;">
            <w:txbxContent>
              <w:p w14:paraId="6CE8CFE3">
                <w:pPr>
                  <w:pStyle w:val="5"/>
                </w:pPr>
                <w:r>
                  <w:fldChar w:fldCharType="begin"/>
                </w:r>
                <w:r>
                  <w:instrText xml:space="preserve"> PAGE  \* MERGEFORMAT </w:instrText>
                </w:r>
                <w:r>
                  <w:fldChar w:fldCharType="separate"/>
                </w:r>
                <w:r>
                  <w:t>- 13 -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46387">
    <w:pPr>
      <w:pStyle w:val="5"/>
      <w:ind w:right="360" w:firstLine="360"/>
      <w:rPr>
        <w:color w:val="FFFFFF"/>
      </w:rP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path/>
          <v:fill on="f" focussize="0,0"/>
          <v:stroke on="f" weight="0.5pt" joinstyle="miter"/>
          <v:imagedata o:title=""/>
          <o:lock v:ext="edit"/>
          <v:textbox inset="0mm,0mm,0mm,0mm" style="mso-fit-shape-to-text:t;">
            <w:txbxContent>
              <w:p w14:paraId="3BE3AF89">
                <w:pPr>
                  <w:pStyle w:val="5"/>
                </w:pPr>
                <w:r>
                  <w:fldChar w:fldCharType="begin"/>
                </w:r>
                <w:r>
                  <w:instrText xml:space="preserve"> PAGE  \* MERGEFORMAT </w:instrText>
                </w:r>
                <w:r>
                  <w:fldChar w:fldCharType="separate"/>
                </w:r>
                <w:r>
                  <w:t>- 14 -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YzYTJkN2NkNzZmMTY0NzgzNThhYTBhY2YwNWMwMTUifQ=="/>
  </w:docVars>
  <w:rsids>
    <w:rsidRoot w:val="2ADD04C8"/>
    <w:rsid w:val="000C5779"/>
    <w:rsid w:val="00214E69"/>
    <w:rsid w:val="003E526B"/>
    <w:rsid w:val="005A03B8"/>
    <w:rsid w:val="005B32A4"/>
    <w:rsid w:val="006F0C25"/>
    <w:rsid w:val="00796F91"/>
    <w:rsid w:val="0084227E"/>
    <w:rsid w:val="00A31528"/>
    <w:rsid w:val="00AF0711"/>
    <w:rsid w:val="00D00CA8"/>
    <w:rsid w:val="00D95182"/>
    <w:rsid w:val="00F626B0"/>
    <w:rsid w:val="029228DF"/>
    <w:rsid w:val="04162EDA"/>
    <w:rsid w:val="04DB51CC"/>
    <w:rsid w:val="0E6BCC3F"/>
    <w:rsid w:val="0F086320"/>
    <w:rsid w:val="0F510716"/>
    <w:rsid w:val="11C47147"/>
    <w:rsid w:val="1346492E"/>
    <w:rsid w:val="15972072"/>
    <w:rsid w:val="17655C70"/>
    <w:rsid w:val="18886F90"/>
    <w:rsid w:val="1F991FE9"/>
    <w:rsid w:val="1FF77D77"/>
    <w:rsid w:val="225F121C"/>
    <w:rsid w:val="2ADD04C8"/>
    <w:rsid w:val="2E4A51B6"/>
    <w:rsid w:val="36446D9D"/>
    <w:rsid w:val="3D307F11"/>
    <w:rsid w:val="3DFDB20F"/>
    <w:rsid w:val="3FC7C660"/>
    <w:rsid w:val="42A976FF"/>
    <w:rsid w:val="47E779E6"/>
    <w:rsid w:val="487A7748"/>
    <w:rsid w:val="48877DD1"/>
    <w:rsid w:val="488F3B36"/>
    <w:rsid w:val="495C5D00"/>
    <w:rsid w:val="4C7F45CF"/>
    <w:rsid w:val="4EBF2DBB"/>
    <w:rsid w:val="516E11DA"/>
    <w:rsid w:val="595D5EBD"/>
    <w:rsid w:val="59BF1FED"/>
    <w:rsid w:val="5C036AD7"/>
    <w:rsid w:val="5FFFBCB7"/>
    <w:rsid w:val="6109463F"/>
    <w:rsid w:val="65C64E13"/>
    <w:rsid w:val="67863FBE"/>
    <w:rsid w:val="6BE5E827"/>
    <w:rsid w:val="6BFEC820"/>
    <w:rsid w:val="6DDE1CEC"/>
    <w:rsid w:val="6EFCDD8C"/>
    <w:rsid w:val="6F1A0005"/>
    <w:rsid w:val="72610054"/>
    <w:rsid w:val="727FB1EB"/>
    <w:rsid w:val="747B1E3B"/>
    <w:rsid w:val="76903985"/>
    <w:rsid w:val="7751598A"/>
    <w:rsid w:val="77E67DD8"/>
    <w:rsid w:val="7BADEE27"/>
    <w:rsid w:val="7EF7888C"/>
    <w:rsid w:val="7FEFD477"/>
    <w:rsid w:val="BDF627CA"/>
    <w:rsid w:val="DBFDF5B8"/>
    <w:rsid w:val="EA5FFB17"/>
    <w:rsid w:val="EA7BB0E6"/>
    <w:rsid w:val="F9F65738"/>
    <w:rsid w:val="FBB184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Light" w:hAnsi="Calibri Light" w:eastAsia="仿宋_GB2312" w:cs="Calibri Ligh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3">
    <w:name w:val="Body Text"/>
    <w:basedOn w:val="1"/>
    <w:next w:val="4"/>
    <w:qFormat/>
    <w:uiPriority w:val="0"/>
    <w:pPr>
      <w:spacing w:after="120"/>
    </w:pPr>
    <w:rPr>
      <w:rFonts w:ascii="Calibri" w:hAnsi="Calibri"/>
      <w:szCs w:val="21"/>
    </w:rPr>
  </w:style>
  <w:style w:type="paragraph" w:styleId="4">
    <w:name w:val="toc 5"/>
    <w:basedOn w:val="1"/>
    <w:next w:val="1"/>
    <w:qFormat/>
    <w:uiPriority w:val="0"/>
    <w:pPr>
      <w:ind w:left="1680" w:leftChars="800"/>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缩进）"/>
    <w:basedOn w:val="1"/>
    <w:qFormat/>
    <w:uiPriority w:val="0"/>
    <w:pPr>
      <w:spacing w:before="156" w:after="156"/>
    </w:pPr>
    <w:rPr>
      <w:rFonts w:ascii="Calibri" w:hAnsi="Calibri"/>
      <w:szCs w:val="21"/>
    </w:rPr>
  </w:style>
  <w:style w:type="paragraph" w:customStyle="1" w:styleId="12">
    <w:name w:val="UserStyle_1"/>
    <w:basedOn w:val="1"/>
    <w:qFormat/>
    <w:uiPriority w:val="0"/>
    <w:pPr>
      <w:spacing w:after="120"/>
      <w:textAlignment w:val="baseline"/>
    </w:pPr>
    <w:rPr>
      <w:rFonts w:ascii="Calibri" w:hAnsi="Calibri"/>
      <w:szCs w:val="21"/>
    </w:rPr>
  </w:style>
  <w:style w:type="character" w:customStyle="1" w:styleId="13">
    <w:name w:val="16"/>
    <w:qFormat/>
    <w:uiPriority w:val="0"/>
    <w:rPr>
      <w:rFonts w:hint="default" w:ascii="Times New Roman" w:hAnsi="Times New Roman" w:eastAsia="宋体" w:cs="Times New Roman"/>
    </w:rPr>
  </w:style>
  <w:style w:type="character" w:customStyle="1" w:styleId="14">
    <w:name w:val="15"/>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5690</Words>
  <Characters>5760</Characters>
  <Lines>1</Lines>
  <Paragraphs>11</Paragraphs>
  <TotalTime>13</TotalTime>
  <ScaleCrop>false</ScaleCrop>
  <LinksUpToDate>false</LinksUpToDate>
  <CharactersWithSpaces>5763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2025-06-24T02:32:00Z</dcterms:created>
  <dc:creator>备用2</dc:creator>
  <cp:lastModifiedBy>小格</cp:lastModifiedBy>
  <cp:lastPrinted>2025-06-13T11:39:00Z</cp:lastPrinted>
  <dcterms:modified xsi:type="dcterms:W3CDTF">2025-08-14T02:23:42Z</dcterms:modified>
  <dc:title>000100</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F8AAB6B0FD854425B02380D2EFFD53B5_13</vt:lpwstr>
  </property>
  <property fmtid="{D5CDD505-2E9C-101B-9397-08002B2CF9AE}" pid="4" name="KSOTemplateDocerSaveRecord">
    <vt:lpwstr>eyJoZGlkIjoiMzk5OGNkZWViZGFiNTljYmJlYWYyYzdkODM4ODhkYjciLCJ1c2VySWQiOiI3MjM2MzgxNjUifQ==</vt:lpwstr>
  </property>
</Properties>
</file>