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0" w:line="240" w:lineRule="auto"/>
        <w:ind w:firstLine="0" w:firstLineChars="0"/>
        <w:jc w:val="left"/>
        <w:rPr>
          <w:rFonts w:hint="default" w:ascii="Times New Roman" w:hAnsi="Times New Roman" w:eastAsia="方正小标宋简体" w:cs="Times New Roman"/>
          <w:color w:val="000000" w:themeColor="text1"/>
          <w:w w:val="55"/>
          <w:sz w:val="90"/>
          <w:szCs w:val="90"/>
          <w14:textFill>
            <w14:solidFill>
              <w14:schemeClr w14:val="tx1"/>
            </w14:solidFill>
          </w14:textFill>
        </w:rPr>
      </w:pPr>
      <w:r>
        <w:rPr>
          <w:rFonts w:hint="default" w:ascii="Times New Roman" w:hAnsi="Times New Roman" w:eastAsia="黑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HNPR—2026—05003</w:t>
      </w:r>
    </w:p>
    <w:p>
      <w:pPr>
        <w:spacing w:after="0" w:line="600" w:lineRule="exact"/>
        <w:ind w:firstLine="717" w:firstLineChars="145"/>
        <w:rPr>
          <w:rFonts w:hint="default" w:ascii="Times New Roman" w:hAnsi="Times New Roman" w:eastAsia="方正小标宋简体" w:cs="Times New Roman"/>
          <w:w w:val="55"/>
          <w:sz w:val="90"/>
          <w:szCs w:val="90"/>
        </w:rPr>
      </w:pPr>
    </w:p>
    <w:p>
      <w:pPr>
        <w:spacing w:after="0" w:line="600" w:lineRule="exact"/>
        <w:ind w:firstLine="717" w:firstLineChars="145"/>
        <w:rPr>
          <w:rFonts w:hint="default" w:ascii="Times New Roman" w:hAnsi="Times New Roman" w:eastAsia="方正小标宋简体" w:cs="Times New Roman"/>
          <w:w w:val="55"/>
          <w:sz w:val="90"/>
          <w:szCs w:val="90"/>
        </w:rPr>
      </w:pPr>
    </w:p>
    <w:p>
      <w:pPr>
        <w:spacing w:after="0" w:line="600" w:lineRule="exact"/>
        <w:jc w:val="center"/>
        <w:rPr>
          <w:rFonts w:hint="default" w:ascii="Times New Roman" w:hAnsi="Times New Roman" w:eastAsia="仿宋" w:cs="Times New Roman"/>
          <w:color w:val="FF0000"/>
          <w:sz w:val="32"/>
          <w:szCs w:val="32"/>
        </w:rPr>
      </w:pPr>
    </w:p>
    <w:p>
      <w:pPr>
        <w:spacing w:after="0" w:line="600" w:lineRule="exact"/>
        <w:ind w:firstLine="320" w:firstLineChars="1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湘工信</w:t>
      </w:r>
      <w:r>
        <w:rPr>
          <w:rFonts w:hint="default" w:ascii="Times New Roman" w:hAnsi="Times New Roman" w:eastAsia="仿宋_GB2312" w:cs="Times New Roman"/>
          <w:sz w:val="32"/>
          <w:szCs w:val="32"/>
          <w:lang w:eastAsia="zh-CN"/>
        </w:rPr>
        <w:t>电子</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rPr>
        <w:t>39</w:t>
      </w:r>
      <w:r>
        <w:rPr>
          <w:rFonts w:hint="default" w:ascii="Times New Roman" w:hAnsi="Times New Roman" w:eastAsia="仿宋_GB2312" w:cs="Times New Roman"/>
          <w:sz w:val="32"/>
          <w:szCs w:val="32"/>
        </w:rPr>
        <w:t>号</w:t>
      </w:r>
    </w:p>
    <w:p>
      <w:pPr>
        <w:spacing w:after="0" w:line="560" w:lineRule="exact"/>
        <w:ind w:firstLine="684" w:firstLineChars="100"/>
        <w:rPr>
          <w:rFonts w:hint="default" w:ascii="Times New Roman" w:hAnsi="Times New Roman" w:eastAsia="方正小标宋简体" w:cs="Times New Roman"/>
          <w:w w:val="90"/>
          <w:sz w:val="76"/>
          <w:szCs w:val="76"/>
        </w:rPr>
      </w:pPr>
    </w:p>
    <w:p>
      <w:pPr>
        <w:pStyle w:val="3"/>
        <w:adjustRightInd w:val="0"/>
        <w:snapToGrid w:val="0"/>
        <w:spacing w:after="0" w:line="560" w:lineRule="exact"/>
        <w:ind w:firstLine="0" w:firstLineChars="0"/>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湖南省工业和信息化厅</w:t>
      </w:r>
    </w:p>
    <w:p>
      <w:pPr>
        <w:adjustRightInd w:val="0"/>
        <w:snapToGrid w:val="0"/>
        <w:spacing w:line="56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关于印发《湖南省</w:t>
      </w:r>
      <w:r>
        <w:rPr>
          <w:rFonts w:hint="default" w:ascii="Times New Roman" w:hAnsi="Times New Roman" w:eastAsia="方正小标宋简体" w:cs="Times New Roman"/>
          <w:color w:val="auto"/>
          <w:sz w:val="44"/>
          <w:szCs w:val="44"/>
          <w:lang w:val="en-US" w:eastAsia="zh-CN"/>
        </w:rPr>
        <w:t>级</w:t>
      </w:r>
      <w:r>
        <w:rPr>
          <w:rFonts w:hint="default" w:ascii="Times New Roman" w:hAnsi="Times New Roman" w:eastAsia="方正小标宋简体" w:cs="Times New Roman"/>
          <w:color w:val="auto"/>
          <w:sz w:val="44"/>
          <w:szCs w:val="44"/>
        </w:rPr>
        <w:t>人工智能终端产品认定管理</w:t>
      </w:r>
    </w:p>
    <w:p>
      <w:pPr>
        <w:adjustRightInd w:val="0"/>
        <w:snapToGrid w:val="0"/>
        <w:spacing w:line="56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办法（试行）》的通知</w:t>
      </w:r>
    </w:p>
    <w:p>
      <w:pPr>
        <w:adjustRightInd w:val="0"/>
        <w:snapToGrid w:val="0"/>
        <w:spacing w:line="560" w:lineRule="exact"/>
        <w:rPr>
          <w:rFonts w:hint="default" w:ascii="Times New Roman" w:hAnsi="Times New Roman" w:eastAsia="仿宋" w:cs="Times New Roman"/>
          <w:color w:val="auto"/>
          <w:sz w:val="32"/>
          <w:szCs w:val="32"/>
        </w:rPr>
      </w:pPr>
    </w:p>
    <w:p>
      <w:pPr>
        <w:adjustRightInd w:val="0"/>
        <w:snapToGrid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各市州工业和信息化局，有关单位：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为加快推进“人工智能+”“智赋万企”行动，推动我省人工智能终端产业创新发展，规范</w:t>
      </w:r>
      <w:r>
        <w:rPr>
          <w:rFonts w:hint="default" w:ascii="Times New Roman" w:hAnsi="Times New Roman" w:eastAsia="仿宋_GB2312" w:cs="Times New Roman"/>
          <w:color w:val="auto"/>
          <w:sz w:val="32"/>
          <w:szCs w:val="32"/>
          <w:lang w:val="en-US" w:eastAsia="zh-CN"/>
        </w:rPr>
        <w:t>全省人工智能终端产品</w:t>
      </w:r>
      <w:r>
        <w:rPr>
          <w:rFonts w:hint="default" w:ascii="Times New Roman" w:hAnsi="Times New Roman" w:eastAsia="仿宋_GB2312" w:cs="Times New Roman"/>
          <w:color w:val="auto"/>
          <w:sz w:val="32"/>
          <w:szCs w:val="32"/>
        </w:rPr>
        <w:t>的认定、评价和管理等工作，现将《湖南省</w:t>
      </w:r>
      <w:r>
        <w:rPr>
          <w:rFonts w:hint="default" w:ascii="Times New Roman" w:hAnsi="Times New Roman" w:eastAsia="仿宋_GB2312" w:cs="Times New Roman"/>
          <w:color w:val="auto"/>
          <w:sz w:val="32"/>
          <w:szCs w:val="32"/>
          <w:lang w:val="en-US" w:eastAsia="zh-CN"/>
        </w:rPr>
        <w:t>级</w:t>
      </w:r>
      <w:r>
        <w:rPr>
          <w:rFonts w:hint="default" w:ascii="Times New Roman" w:hAnsi="Times New Roman" w:eastAsia="仿宋_GB2312" w:cs="Times New Roman"/>
          <w:color w:val="auto"/>
          <w:sz w:val="32"/>
          <w:szCs w:val="32"/>
        </w:rPr>
        <w:t>人工智能终端产品认定管理办法（试行）》印发给你们，请结合实际，认真贯彻落实。</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附件：湖南省</w:t>
      </w:r>
      <w:r>
        <w:rPr>
          <w:rFonts w:hint="default" w:ascii="Times New Roman" w:hAnsi="Times New Roman" w:eastAsia="仿宋_GB2312" w:cs="Times New Roman"/>
          <w:color w:val="auto"/>
          <w:sz w:val="32"/>
          <w:szCs w:val="32"/>
          <w:lang w:val="en-US" w:eastAsia="zh-CN"/>
        </w:rPr>
        <w:t>级</w:t>
      </w:r>
      <w:r>
        <w:rPr>
          <w:rFonts w:hint="default" w:ascii="Times New Roman" w:hAnsi="Times New Roman" w:eastAsia="仿宋_GB2312" w:cs="Times New Roman"/>
          <w:color w:val="auto"/>
          <w:sz w:val="32"/>
          <w:szCs w:val="32"/>
        </w:rPr>
        <w:t>人工智能终端产品认定管理办法（试行）</w:t>
      </w:r>
    </w:p>
    <w:p>
      <w:pPr>
        <w:pStyle w:val="2"/>
        <w:adjustRightInd w:val="0"/>
        <w:snapToGrid w:val="0"/>
        <w:spacing w:line="560" w:lineRule="exact"/>
        <w:rPr>
          <w:rFonts w:hint="default" w:ascii="Times New Roman" w:hAnsi="Times New Roman" w:eastAsia="仿宋_GB2312" w:cs="Times New Roman"/>
          <w:color w:val="auto"/>
          <w:sz w:val="32"/>
          <w:szCs w:val="32"/>
        </w:rPr>
      </w:pPr>
    </w:p>
    <w:p>
      <w:pPr>
        <w:pStyle w:val="3"/>
        <w:adjustRightInd w:val="0"/>
        <w:snapToGrid w:val="0"/>
        <w:spacing w:after="0" w:line="560" w:lineRule="exact"/>
        <w:ind w:firstLine="4160" w:firstLineChars="1300"/>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湖南省工业和信息化厅</w:t>
      </w:r>
    </w:p>
    <w:p>
      <w:pPr>
        <w:pStyle w:val="3"/>
        <w:adjustRightInd w:val="0"/>
        <w:snapToGrid w:val="0"/>
        <w:spacing w:after="0" w:line="560" w:lineRule="exact"/>
        <w:ind w:firstLine="0" w:firstLineChars="0"/>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rPr>
        <w:t xml:space="preserve">                           </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年1月</w:t>
      </w:r>
      <w:r>
        <w:rPr>
          <w:rFonts w:hint="default" w:ascii="Times New Roman" w:hAnsi="Times New Roman" w:eastAsia="仿宋_GB2312" w:cs="Times New Roman"/>
          <w:color w:val="auto"/>
          <w:sz w:val="32"/>
          <w:szCs w:val="32"/>
          <w:lang w:val="en-US" w:eastAsia="zh-CN"/>
        </w:rPr>
        <w:t>29</w:t>
      </w:r>
      <w:r>
        <w:rPr>
          <w:rFonts w:hint="default" w:ascii="Times New Roman" w:hAnsi="Times New Roman" w:eastAsia="仿宋_GB2312" w:cs="Times New Roman"/>
          <w:color w:val="auto"/>
          <w:sz w:val="32"/>
          <w:szCs w:val="32"/>
        </w:rPr>
        <w:t>日</w:t>
      </w:r>
    </w:p>
    <w:p>
      <w:pPr>
        <w:ind w:firstLine="4800" w:firstLineChars="15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湖南省级人工智能终端</w:t>
      </w:r>
      <w:r>
        <w:rPr>
          <w:rFonts w:hint="default" w:ascii="Times New Roman" w:hAnsi="Times New Roman" w:eastAsia="方正小标宋简体" w:cs="Times New Roman"/>
          <w:sz w:val="44"/>
          <w:szCs w:val="44"/>
          <w:lang w:val="en-US" w:eastAsia="zh-CN"/>
        </w:rPr>
        <w:t>产品</w:t>
      </w:r>
      <w:r>
        <w:rPr>
          <w:rFonts w:hint="default" w:ascii="Times New Roman" w:hAnsi="Times New Roman" w:eastAsia="方正小标宋简体" w:cs="Times New Roman"/>
          <w:sz w:val="44"/>
          <w:szCs w:val="44"/>
        </w:rPr>
        <w:t>认定管理办法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lang w:val="en-US" w:eastAsia="zh-CN"/>
        </w:rPr>
        <w:t>试行</w:t>
      </w:r>
      <w:r>
        <w:rPr>
          <w:rFonts w:hint="default" w:ascii="Times New Roman" w:hAnsi="Times New Roman" w:eastAsia="楷体"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rPr>
        <w:t>第一条</w:t>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_GB2312" w:cs="Times New Roman"/>
          <w:sz w:val="32"/>
          <w:szCs w:val="32"/>
        </w:rPr>
        <w:t>为促进人工智能终端产业</w:t>
      </w:r>
      <w:r>
        <w:rPr>
          <w:rFonts w:hint="default" w:ascii="Times New Roman" w:hAnsi="Times New Roman" w:eastAsia="仿宋_GB2312" w:cs="Times New Roman"/>
          <w:sz w:val="32"/>
          <w:szCs w:val="32"/>
          <w:lang w:eastAsia="zh-CN"/>
        </w:rPr>
        <w:t>高质量</w:t>
      </w:r>
      <w:r>
        <w:rPr>
          <w:rFonts w:hint="default" w:ascii="Times New Roman" w:hAnsi="Times New Roman" w:eastAsia="仿宋_GB2312" w:cs="Times New Roman"/>
          <w:sz w:val="32"/>
          <w:szCs w:val="32"/>
        </w:rPr>
        <w:t>发展，</w:t>
      </w:r>
      <w:r>
        <w:rPr>
          <w:rFonts w:hint="default" w:ascii="Times New Roman" w:hAnsi="Times New Roman" w:eastAsia="仿宋_GB2312" w:cs="Times New Roman"/>
          <w:sz w:val="32"/>
          <w:szCs w:val="32"/>
          <w:lang w:eastAsia="zh-CN"/>
        </w:rPr>
        <w:t>规范</w:t>
      </w:r>
      <w:r>
        <w:rPr>
          <w:rFonts w:hint="default" w:ascii="Times New Roman" w:hAnsi="Times New Roman" w:eastAsia="仿宋_GB2312" w:cs="Times New Roman"/>
          <w:sz w:val="32"/>
          <w:szCs w:val="32"/>
          <w:lang w:val="en-US" w:eastAsia="zh-CN"/>
        </w:rPr>
        <w:t>相关</w:t>
      </w:r>
      <w:r>
        <w:rPr>
          <w:rFonts w:hint="default" w:ascii="Times New Roman" w:hAnsi="Times New Roman" w:eastAsia="仿宋_GB2312" w:cs="Times New Roman"/>
          <w:sz w:val="32"/>
          <w:szCs w:val="32"/>
          <w:lang w:eastAsia="zh-CN"/>
        </w:rPr>
        <w:t>认定管理工作，</w:t>
      </w:r>
      <w:r>
        <w:rPr>
          <w:rFonts w:hint="default" w:ascii="Times New Roman" w:hAnsi="Times New Roman" w:eastAsia="仿宋_GB2312" w:cs="Times New Roman"/>
          <w:sz w:val="32"/>
          <w:szCs w:val="32"/>
        </w:rPr>
        <w:t>推动人工智能技术在终端产品中的深度融合与创新应用，培育新的经济增长点，</w:t>
      </w:r>
      <w:r>
        <w:rPr>
          <w:rFonts w:hint="default" w:ascii="Times New Roman" w:hAnsi="Times New Roman" w:eastAsia="仿宋_GB2312" w:cs="Times New Roman"/>
          <w:sz w:val="32"/>
          <w:szCs w:val="32"/>
          <w:lang w:val="en-US" w:eastAsia="zh-CN"/>
        </w:rPr>
        <w:t>根据《国务院关于深入实施“人工智能+”行动的意见》（国发〔2025〕11号）、湖南省人民政府关于印发《湖南省贯彻落实国务院“人工智能+”行动的实施方案》的通知（湘政发〔2025〕7号）及有关政策文件</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第二条</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_GB2312" w:cs="Times New Roman"/>
          <w:sz w:val="32"/>
          <w:szCs w:val="32"/>
        </w:rPr>
        <w:t>人工智能终端</w:t>
      </w:r>
      <w:r>
        <w:rPr>
          <w:rFonts w:hint="default" w:ascii="Times New Roman" w:hAnsi="Times New Roman" w:eastAsia="仿宋_GB2312" w:cs="Times New Roman"/>
          <w:sz w:val="32"/>
          <w:szCs w:val="32"/>
          <w:lang w:val="en-US" w:eastAsia="zh-CN"/>
        </w:rPr>
        <w:t>产品</w:t>
      </w:r>
      <w:r>
        <w:rPr>
          <w:rFonts w:hint="default" w:ascii="Times New Roman" w:hAnsi="Times New Roman" w:eastAsia="仿宋_GB2312" w:cs="Times New Roman"/>
          <w:sz w:val="32"/>
          <w:szCs w:val="32"/>
        </w:rPr>
        <w:t>是</w:t>
      </w:r>
      <w:r>
        <w:rPr>
          <w:rFonts w:hint="default" w:ascii="Times New Roman" w:hAnsi="Times New Roman" w:eastAsia="仿宋_GB2312" w:cs="Times New Roman"/>
          <w:sz w:val="32"/>
          <w:szCs w:val="32"/>
          <w:lang w:eastAsia="zh-CN"/>
        </w:rPr>
        <w:t>指</w:t>
      </w:r>
      <w:r>
        <w:rPr>
          <w:rFonts w:hint="default" w:ascii="Times New Roman" w:hAnsi="Times New Roman" w:eastAsia="仿宋_GB2312" w:cs="Times New Roman"/>
          <w:sz w:val="32"/>
          <w:szCs w:val="32"/>
        </w:rPr>
        <w:t>嵌入人工智能技术，</w:t>
      </w:r>
      <w:r>
        <w:rPr>
          <w:rFonts w:hint="default" w:ascii="Times New Roman" w:hAnsi="Times New Roman" w:eastAsia="仿宋_GB2312" w:cs="Times New Roman"/>
          <w:sz w:val="32"/>
          <w:szCs w:val="32"/>
          <w:lang w:eastAsia="zh-CN"/>
        </w:rPr>
        <w:t>具备主动感知理解、多模态交互、智能化服务和自主学习进化等能力</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产品或设备</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第三条</w:t>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_GB2312" w:cs="Times New Roman"/>
          <w:sz w:val="32"/>
          <w:szCs w:val="32"/>
          <w:lang w:eastAsia="zh-CN"/>
        </w:rPr>
        <w:t>湖南省级人工智能终端</w:t>
      </w:r>
      <w:r>
        <w:rPr>
          <w:rFonts w:hint="default" w:ascii="Times New Roman" w:hAnsi="Times New Roman" w:eastAsia="仿宋_GB2312" w:cs="Times New Roman"/>
          <w:sz w:val="32"/>
          <w:szCs w:val="32"/>
        </w:rPr>
        <w:t>产品认定工作旨在通过树立行业标杆，发挥示范引领作用，推动人工智能终端产业核心技术攻关、产品迭代升级和场景深度融合，提升产业链现代化水平。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人工智能终端产品的认定管理工作遵循“企业自愿、政府引导、公平公正、择优认定”的原则，由湖南省</w:t>
      </w:r>
      <w:r>
        <w:rPr>
          <w:rFonts w:hint="default" w:ascii="Times New Roman" w:hAnsi="Times New Roman" w:eastAsia="仿宋_GB2312" w:cs="Times New Roman"/>
          <w:sz w:val="32"/>
          <w:szCs w:val="32"/>
          <w:lang w:val="en-US" w:eastAsia="zh-CN"/>
        </w:rPr>
        <w:t>各级</w:t>
      </w:r>
      <w:r>
        <w:rPr>
          <w:rFonts w:hint="default" w:ascii="Times New Roman" w:hAnsi="Times New Roman" w:eastAsia="仿宋_GB2312" w:cs="Times New Roman"/>
          <w:sz w:val="32"/>
          <w:szCs w:val="32"/>
        </w:rPr>
        <w:t>工业和信息化主管部门负责组织实施。本办法适用于具有独立法人资格、从事人工智能终端的研发、生产、认定及管理等活动的企业</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认定范围和</w:t>
      </w:r>
      <w:r>
        <w:rPr>
          <w:rFonts w:hint="default" w:ascii="Times New Roman" w:hAnsi="Times New Roman" w:eastAsia="黑体" w:cs="Times New Roman"/>
          <w:sz w:val="32"/>
          <w:szCs w:val="32"/>
          <w:lang w:eastAsia="zh-CN"/>
        </w:rPr>
        <w:t>认定</w:t>
      </w:r>
      <w:r>
        <w:rPr>
          <w:rFonts w:hint="default" w:ascii="Times New Roman" w:hAnsi="Times New Roman" w:eastAsia="黑体" w:cs="Times New Roman"/>
          <w:sz w:val="32"/>
          <w:szCs w:val="32"/>
        </w:rPr>
        <w:t>条件</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eastAsia="zh-CN"/>
        </w:rPr>
        <w:t>湖南省级人工智能终端产品认定范围包括但不限于：</w:t>
      </w:r>
      <w:r>
        <w:rPr>
          <w:rFonts w:hint="default" w:ascii="Times New Roman" w:hAnsi="Times New Roman" w:eastAsia="仿宋_GB2312" w:cs="Times New Roman"/>
          <w:color w:val="auto"/>
          <w:sz w:val="32"/>
          <w:szCs w:val="32"/>
          <w:shd w:val="clear" w:color="auto" w:fill="auto"/>
        </w:rPr>
        <w:t>智能机器人</w:t>
      </w:r>
      <w:r>
        <w:rPr>
          <w:rFonts w:hint="default"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rPr>
        <w:t>智能计算终端</w:t>
      </w:r>
      <w:r>
        <w:rPr>
          <w:rFonts w:hint="default"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rPr>
        <w:t>智能视觉终端</w:t>
      </w:r>
      <w:r>
        <w:rPr>
          <w:rFonts w:hint="default"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rPr>
        <w:t>智能可穿戴设备</w:t>
      </w:r>
      <w:r>
        <w:rPr>
          <w:rFonts w:hint="default"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rPr>
        <w:t>智能车载设备</w:t>
      </w:r>
      <w:r>
        <w:rPr>
          <w:rFonts w:hint="default"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rPr>
        <w:t>智能仪器仪表</w:t>
      </w:r>
      <w:r>
        <w:rPr>
          <w:rFonts w:hint="default"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rPr>
        <w:t>智能家居终端</w:t>
      </w:r>
      <w:r>
        <w:rPr>
          <w:rFonts w:hint="default"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rPr>
        <w:t>智能无人飞行器</w:t>
      </w:r>
      <w:r>
        <w:rPr>
          <w:rFonts w:hint="default"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rPr>
        <w:t>智能工业终端</w:t>
      </w:r>
      <w:r>
        <w:rPr>
          <w:rFonts w:hint="default" w:ascii="Times New Roman" w:hAnsi="Times New Roman" w:eastAsia="仿宋_GB2312" w:cs="Times New Roman"/>
          <w:sz w:val="32"/>
          <w:szCs w:val="32"/>
          <w:lang w:eastAsia="zh-CN"/>
        </w:rPr>
        <w:t>及其他</w:t>
      </w:r>
      <w:r>
        <w:rPr>
          <w:rFonts w:hint="default" w:ascii="Times New Roman" w:hAnsi="Times New Roman" w:eastAsia="仿宋_GB2312" w:cs="Times New Roman"/>
          <w:color w:val="auto"/>
          <w:kern w:val="2"/>
          <w:sz w:val="32"/>
          <w:szCs w:val="32"/>
          <w:shd w:val="clear" w:color="auto" w:fill="auto"/>
        </w:rPr>
        <w:t>新型人工智能终端</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（一）智能机器人。包括工业机器人、服务机器人、特种机器人和其他应用机器人</w:t>
      </w:r>
      <w:r>
        <w:rPr>
          <w:rFonts w:hint="default" w:ascii="Times New Roman" w:hAnsi="Times New Roman" w:eastAsia="仿宋_GB2312" w:cs="Times New Roman"/>
          <w:sz w:val="32"/>
          <w:szCs w:val="32"/>
          <w:lang w:eastAsia="zh-CN"/>
        </w:rPr>
        <w:t>。</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（二）智能计算</w:t>
      </w:r>
      <w:r>
        <w:rPr>
          <w:rFonts w:hint="default" w:ascii="Times New Roman" w:hAnsi="Times New Roman" w:eastAsia="仿宋_GB2312" w:cs="Times New Roman"/>
          <w:sz w:val="32"/>
          <w:szCs w:val="32"/>
          <w:lang w:val="en-US" w:eastAsia="zh-CN"/>
        </w:rPr>
        <w:t>终端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包括</w:t>
      </w:r>
      <w:r>
        <w:rPr>
          <w:rFonts w:hint="default" w:ascii="Times New Roman" w:hAnsi="Times New Roman" w:eastAsia="仿宋_GB2312" w:cs="Times New Roman"/>
          <w:sz w:val="32"/>
          <w:szCs w:val="32"/>
          <w:lang w:eastAsia="zh-CN"/>
        </w:rPr>
        <w:t>智能手机、智能计算机、</w:t>
      </w:r>
      <w:r>
        <w:rPr>
          <w:rFonts w:hint="default" w:ascii="Times New Roman" w:hAnsi="Times New Roman" w:eastAsia="仿宋_GB2312" w:cs="Times New Roman"/>
          <w:sz w:val="32"/>
          <w:szCs w:val="32"/>
        </w:rPr>
        <w:t>边缘计算节点、AI服务器等</w:t>
      </w:r>
      <w:r>
        <w:rPr>
          <w:rFonts w:hint="default" w:ascii="Times New Roman" w:hAnsi="Times New Roman" w:eastAsia="仿宋_GB2312" w:cs="Times New Roman"/>
          <w:sz w:val="32"/>
          <w:szCs w:val="32"/>
          <w:lang w:eastAsia="zh-CN"/>
        </w:rPr>
        <w:t>。</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shd w:val="clear" w:color="auto" w:fill="auto"/>
          <w:lang w:val="en-US" w:eastAsia="zh-CN"/>
        </w:rPr>
      </w:pPr>
      <w:r>
        <w:rPr>
          <w:rFonts w:hint="default" w:ascii="Times New Roman" w:hAnsi="Times New Roman" w:eastAsia="仿宋_GB2312" w:cs="Times New Roman"/>
          <w:sz w:val="32"/>
          <w:szCs w:val="32"/>
          <w:shd w:val="clear" w:color="auto" w:fill="auto"/>
          <w:lang w:eastAsia="zh-CN"/>
        </w:rPr>
        <w:t>（</w:t>
      </w:r>
      <w:r>
        <w:rPr>
          <w:rFonts w:hint="default" w:ascii="Times New Roman" w:hAnsi="Times New Roman" w:eastAsia="仿宋_GB2312" w:cs="Times New Roman"/>
          <w:sz w:val="32"/>
          <w:szCs w:val="32"/>
          <w:shd w:val="clear" w:color="auto" w:fill="auto"/>
          <w:lang w:val="en-US" w:eastAsia="zh-CN"/>
        </w:rPr>
        <w:t>三</w:t>
      </w:r>
      <w:r>
        <w:rPr>
          <w:rFonts w:hint="default" w:ascii="Times New Roman" w:hAnsi="Times New Roman" w:eastAsia="仿宋_GB2312" w:cs="Times New Roman"/>
          <w:sz w:val="32"/>
          <w:szCs w:val="32"/>
          <w:shd w:val="clear" w:color="auto" w:fill="auto"/>
          <w:lang w:eastAsia="zh-CN"/>
        </w:rPr>
        <w:t>）</w:t>
      </w:r>
      <w:r>
        <w:rPr>
          <w:rFonts w:hint="default" w:ascii="Times New Roman" w:hAnsi="Times New Roman" w:eastAsia="仿宋_GB2312" w:cs="Times New Roman"/>
          <w:sz w:val="32"/>
          <w:szCs w:val="32"/>
          <w:shd w:val="clear" w:color="auto" w:fill="auto"/>
        </w:rPr>
        <w:t>智能视觉终端</w:t>
      </w:r>
      <w:r>
        <w:rPr>
          <w:rFonts w:hint="default" w:ascii="Times New Roman" w:hAnsi="Times New Roman" w:eastAsia="仿宋_GB2312" w:cs="Times New Roman"/>
          <w:sz w:val="32"/>
          <w:szCs w:val="32"/>
          <w:shd w:val="clear" w:color="auto" w:fill="auto"/>
          <w:lang w:eastAsia="zh-CN"/>
        </w:rPr>
        <w:t>。</w:t>
      </w:r>
      <w:r>
        <w:rPr>
          <w:rFonts w:hint="default" w:ascii="Times New Roman" w:hAnsi="Times New Roman" w:eastAsia="仿宋_GB2312" w:cs="Times New Roman"/>
          <w:sz w:val="32"/>
          <w:szCs w:val="32"/>
          <w:shd w:val="clear" w:color="auto" w:fill="auto"/>
          <w:lang w:val="en-US" w:eastAsia="zh-CN"/>
        </w:rPr>
        <w:t>包括</w:t>
      </w:r>
      <w:r>
        <w:rPr>
          <w:rFonts w:hint="default" w:ascii="Times New Roman" w:hAnsi="Times New Roman" w:eastAsia="仿宋_GB2312" w:cs="Times New Roman"/>
          <w:sz w:val="32"/>
          <w:szCs w:val="32"/>
          <w:shd w:val="clear" w:color="auto" w:fill="auto"/>
          <w:lang w:eastAsia="zh-CN"/>
        </w:rPr>
        <w:t>智能相机与嵌入式系统、PC-Based视觉系统、3D视觉系统、感知型摄像机</w:t>
      </w:r>
      <w:r>
        <w:rPr>
          <w:rFonts w:hint="default" w:ascii="Times New Roman" w:hAnsi="Times New Roman" w:eastAsia="仿宋_GB2312" w:cs="Times New Roman"/>
          <w:sz w:val="32"/>
          <w:szCs w:val="32"/>
          <w:shd w:val="clear" w:color="auto" w:fill="auto"/>
          <w:lang w:val="en-US" w:eastAsia="zh-CN"/>
        </w:rPr>
        <w:t>等。</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sz w:val="32"/>
          <w:szCs w:val="32"/>
          <w:shd w:val="clear" w:color="auto" w:fill="auto"/>
          <w:lang w:eastAsia="zh-CN"/>
        </w:rPr>
        <w:t>（</w:t>
      </w:r>
      <w:r>
        <w:rPr>
          <w:rFonts w:hint="default" w:ascii="Times New Roman" w:hAnsi="Times New Roman" w:eastAsia="仿宋_GB2312" w:cs="Times New Roman"/>
          <w:sz w:val="32"/>
          <w:szCs w:val="32"/>
          <w:shd w:val="clear" w:color="auto" w:fill="auto"/>
          <w:lang w:val="en-US" w:eastAsia="zh-CN"/>
        </w:rPr>
        <w:t>四</w:t>
      </w:r>
      <w:r>
        <w:rPr>
          <w:rFonts w:hint="default" w:ascii="Times New Roman" w:hAnsi="Times New Roman" w:eastAsia="仿宋_GB2312" w:cs="Times New Roman"/>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rPr>
        <w:t>智能可穿戴设备。</w:t>
      </w:r>
      <w:r>
        <w:rPr>
          <w:rFonts w:hint="default" w:ascii="Times New Roman" w:hAnsi="Times New Roman" w:eastAsia="仿宋_GB2312" w:cs="Times New Roman"/>
          <w:sz w:val="32"/>
          <w:szCs w:val="32"/>
        </w:rPr>
        <w:t>包括</w:t>
      </w:r>
      <w:r>
        <w:rPr>
          <w:rFonts w:hint="default" w:ascii="Times New Roman" w:hAnsi="Times New Roman" w:eastAsia="仿宋_GB2312" w:cs="Times New Roman"/>
          <w:color w:val="auto"/>
          <w:spacing w:val="0"/>
          <w:sz w:val="32"/>
          <w:szCs w:val="32"/>
        </w:rPr>
        <w:t>多形态</w:t>
      </w:r>
      <w:r>
        <w:rPr>
          <w:rFonts w:hint="default" w:ascii="Times New Roman" w:hAnsi="Times New Roman" w:eastAsia="仿宋_GB2312" w:cs="Times New Roman"/>
          <w:color w:val="auto"/>
          <w:spacing w:val="0"/>
          <w:sz w:val="32"/>
          <w:szCs w:val="32"/>
          <w:lang w:val="en-US" w:eastAsia="zh-CN"/>
        </w:rPr>
        <w:t>智能</w:t>
      </w:r>
      <w:r>
        <w:rPr>
          <w:rFonts w:hint="default" w:ascii="Times New Roman" w:hAnsi="Times New Roman" w:eastAsia="仿宋_GB2312" w:cs="Times New Roman"/>
          <w:color w:val="auto"/>
          <w:spacing w:val="0"/>
          <w:sz w:val="32"/>
          <w:szCs w:val="32"/>
        </w:rPr>
        <w:t>眼镜</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z w:val="32"/>
          <w:szCs w:val="32"/>
        </w:rPr>
        <w:t>智能手环、智能手表、运动相机</w:t>
      </w:r>
      <w:r>
        <w:rPr>
          <w:rFonts w:hint="default" w:ascii="Times New Roman" w:hAnsi="Times New Roman" w:eastAsia="仿宋_GB2312" w:cs="Times New Roman"/>
          <w:color w:val="auto"/>
          <w:sz w:val="32"/>
          <w:szCs w:val="32"/>
          <w:lang w:val="en-US" w:eastAsia="zh-CN"/>
        </w:rPr>
        <w:t>以及</w:t>
      </w:r>
      <w:r>
        <w:rPr>
          <w:rFonts w:hint="default" w:ascii="Times New Roman" w:hAnsi="Times New Roman" w:eastAsia="仿宋_GB2312" w:cs="Times New Roman"/>
          <w:color w:val="auto"/>
          <w:sz w:val="32"/>
          <w:szCs w:val="32"/>
          <w:shd w:val="clear" w:color="auto" w:fill="auto"/>
        </w:rPr>
        <w:t>智能仿生假肢、穿戴式外骨骼、脑电头环、人工视网膜、人工耳蜗等。</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shd w:val="clear" w:color="auto" w:fill="FFFFFF"/>
        </w:rPr>
        <w:t>智能车载设备。</w:t>
      </w:r>
      <w:r>
        <w:rPr>
          <w:rFonts w:hint="default" w:ascii="Times New Roman" w:hAnsi="Times New Roman" w:eastAsia="仿宋_GB2312" w:cs="Times New Roman"/>
          <w:sz w:val="32"/>
          <w:szCs w:val="32"/>
        </w:rPr>
        <w:t>包括</w:t>
      </w:r>
      <w:r>
        <w:rPr>
          <w:rFonts w:hint="default" w:ascii="Times New Roman" w:hAnsi="Times New Roman" w:eastAsia="仿宋_GB2312" w:cs="Times New Roman"/>
          <w:color w:val="auto"/>
          <w:sz w:val="32"/>
          <w:szCs w:val="32"/>
          <w:shd w:val="clear" w:color="auto" w:fill="FFFFFF"/>
        </w:rPr>
        <w:t>人车交互、域控制器、车载视听</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车载摄像机、激光雷达、毫米波雷达</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北斗规模化应用车载网联终端等。</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shd w:val="clear" w:color="auto" w:fill="FFFFFF"/>
        </w:rPr>
        <w:t>智能仪器仪表。</w:t>
      </w:r>
      <w:r>
        <w:rPr>
          <w:rFonts w:hint="default" w:ascii="Times New Roman" w:hAnsi="Times New Roman" w:eastAsia="仿宋_GB2312" w:cs="Times New Roman"/>
          <w:sz w:val="32"/>
          <w:szCs w:val="32"/>
        </w:rPr>
        <w:t>包括</w:t>
      </w:r>
      <w:r>
        <w:rPr>
          <w:rFonts w:hint="default" w:ascii="Times New Roman" w:hAnsi="Times New Roman" w:eastAsia="仿宋_GB2312" w:cs="Times New Roman"/>
          <w:color w:val="auto"/>
          <w:sz w:val="32"/>
          <w:szCs w:val="32"/>
          <w:shd w:val="clear" w:color="auto" w:fill="FFFFFF"/>
          <w:lang w:val="en-US" w:eastAsia="zh-CN"/>
        </w:rPr>
        <w:t>智能</w:t>
      </w:r>
      <w:r>
        <w:rPr>
          <w:rFonts w:hint="default" w:ascii="Times New Roman" w:hAnsi="Times New Roman" w:eastAsia="仿宋_GB2312" w:cs="Times New Roman"/>
          <w:color w:val="auto"/>
          <w:sz w:val="32"/>
          <w:szCs w:val="32"/>
          <w:shd w:val="clear" w:color="auto" w:fill="FFFFFF"/>
        </w:rPr>
        <w:t>工业过程监测仪表</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智能</w:t>
      </w:r>
      <w:r>
        <w:rPr>
          <w:rFonts w:hint="default" w:ascii="Times New Roman" w:hAnsi="Times New Roman" w:eastAsia="仿宋_GB2312" w:cs="Times New Roman"/>
          <w:color w:val="auto"/>
          <w:sz w:val="32"/>
          <w:szCs w:val="32"/>
        </w:rPr>
        <w:t>环境监测仪器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智能</w:t>
      </w:r>
      <w:r>
        <w:rPr>
          <w:rFonts w:hint="default" w:ascii="Times New Roman" w:hAnsi="Times New Roman" w:eastAsia="仿宋_GB2312" w:cs="Times New Roman"/>
          <w:color w:val="auto"/>
          <w:sz w:val="32"/>
          <w:szCs w:val="32"/>
        </w:rPr>
        <w:t>光谱、质谱、色谱等科学仪器及实验分析仪器</w:t>
      </w:r>
      <w:r>
        <w:rPr>
          <w:rFonts w:hint="default"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shd w:val="clear" w:color="auto" w:fill="auto"/>
        </w:rPr>
        <w:t>智能家居终端</w:t>
      </w:r>
      <w:r>
        <w:rPr>
          <w:rFonts w:hint="default" w:ascii="Times New Roman" w:hAnsi="Times New Roman" w:eastAsia="仿宋_GB2312" w:cs="Times New Roman"/>
          <w:sz w:val="32"/>
          <w:szCs w:val="32"/>
          <w:shd w:val="clear" w:color="auto" w:fill="auto"/>
          <w:lang w:eastAsia="zh-CN"/>
        </w:rPr>
        <w:t>。</w:t>
      </w:r>
      <w:r>
        <w:rPr>
          <w:rFonts w:hint="default" w:ascii="Times New Roman" w:hAnsi="Times New Roman" w:eastAsia="仿宋_GB2312" w:cs="Times New Roman"/>
          <w:sz w:val="32"/>
          <w:szCs w:val="32"/>
        </w:rPr>
        <w:t>包括</w:t>
      </w:r>
      <w:r>
        <w:rPr>
          <w:rFonts w:hint="default" w:ascii="Times New Roman" w:hAnsi="Times New Roman" w:eastAsia="仿宋_GB2312" w:cs="Times New Roman"/>
          <w:color w:val="auto"/>
          <w:sz w:val="32"/>
          <w:szCs w:val="32"/>
          <w:shd w:val="clear" w:color="auto" w:fill="FFFFFF"/>
        </w:rPr>
        <w:t>智能音响、智能门锁、智能门铃、扫地机器人、洗地机、智能厨电、智能照明等</w:t>
      </w:r>
      <w:r>
        <w:rPr>
          <w:rFonts w:hint="default" w:ascii="Times New Roman" w:hAnsi="Times New Roman" w:eastAsia="仿宋_GB2312" w:cs="Times New Roman"/>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八</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shd w:val="clear" w:color="auto" w:fill="auto"/>
        </w:rPr>
        <w:t>智能飞行器</w:t>
      </w:r>
      <w:r>
        <w:rPr>
          <w:rFonts w:hint="default" w:ascii="Times New Roman" w:hAnsi="Times New Roman" w:eastAsia="仿宋_GB2312" w:cs="Times New Roman"/>
          <w:sz w:val="32"/>
          <w:szCs w:val="32"/>
          <w:shd w:val="clear" w:color="auto" w:fill="auto"/>
          <w:lang w:eastAsia="zh-CN"/>
        </w:rPr>
        <w:t>。</w:t>
      </w:r>
      <w:r>
        <w:rPr>
          <w:rFonts w:hint="default" w:ascii="Times New Roman" w:hAnsi="Times New Roman" w:eastAsia="仿宋_GB2312" w:cs="Times New Roman"/>
          <w:sz w:val="32"/>
          <w:szCs w:val="32"/>
        </w:rPr>
        <w:t>包括</w:t>
      </w:r>
      <w:r>
        <w:rPr>
          <w:rFonts w:hint="default" w:ascii="Times New Roman" w:hAnsi="Times New Roman" w:eastAsia="仿宋_GB2312" w:cs="Times New Roman"/>
          <w:color w:val="auto"/>
          <w:sz w:val="32"/>
          <w:szCs w:val="32"/>
          <w:shd w:val="clear" w:color="auto" w:fill="FFFFFF"/>
          <w:lang w:val="en-US" w:eastAsia="zh-CN"/>
        </w:rPr>
        <w:t>智能</w:t>
      </w:r>
      <w:r>
        <w:rPr>
          <w:rFonts w:hint="default" w:ascii="Times New Roman" w:hAnsi="Times New Roman" w:eastAsia="仿宋_GB2312" w:cs="Times New Roman"/>
          <w:color w:val="auto"/>
          <w:sz w:val="32"/>
          <w:szCs w:val="32"/>
          <w:shd w:val="clear" w:color="auto" w:fill="FFFFFF"/>
        </w:rPr>
        <w:t>载重无人机</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特种无人机</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消费级无人机</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电动垂直起降飞行器（eVTOL）</w:t>
      </w:r>
      <w:r>
        <w:rPr>
          <w:rFonts w:hint="default" w:ascii="Times New Roman" w:hAnsi="Times New Roman" w:eastAsia="仿宋_GB2312" w:cs="Times New Roman"/>
          <w:sz w:val="32"/>
          <w:szCs w:val="32"/>
          <w:shd w:val="clear" w:color="auto" w:fill="auto"/>
          <w:lang w:val="en-US" w:eastAsia="zh-CN"/>
        </w:rPr>
        <w:t>等</w:t>
      </w:r>
      <w:r>
        <w:rPr>
          <w:rFonts w:hint="default" w:ascii="Times New Roman" w:hAnsi="Times New Roman" w:eastAsia="仿宋_GB2312" w:cs="Times New Roman"/>
          <w:color w:val="auto"/>
          <w:sz w:val="32"/>
          <w:szCs w:val="32"/>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color w:val="auto"/>
          <w:sz w:val="32"/>
          <w:szCs w:val="32"/>
          <w:shd w:val="clear" w:color="auto" w:fill="FFFFFF"/>
        </w:rPr>
        <w:t>（九）智能工业终端。</w:t>
      </w:r>
      <w:r>
        <w:rPr>
          <w:rFonts w:hint="default" w:ascii="Times New Roman" w:hAnsi="Times New Roman" w:eastAsia="仿宋_GB2312" w:cs="Times New Roman"/>
          <w:sz w:val="32"/>
          <w:szCs w:val="32"/>
        </w:rPr>
        <w:t>包括</w:t>
      </w:r>
      <w:r>
        <w:rPr>
          <w:rFonts w:hint="default" w:ascii="Times New Roman" w:hAnsi="Times New Roman" w:eastAsia="仿宋_GB2312" w:cs="Times New Roman"/>
          <w:color w:val="auto"/>
          <w:sz w:val="32"/>
          <w:szCs w:val="32"/>
          <w:shd w:val="clear" w:color="auto" w:fill="FFFFFF"/>
        </w:rPr>
        <w:t>工业控制计算机、可编程逻辑控制器</w:t>
      </w:r>
      <w:r>
        <w:rPr>
          <w:rFonts w:hint="default" w:ascii="Times New Roman" w:hAnsi="Times New Roman" w:eastAsia="仿宋_GB2312" w:cs="Times New Roman"/>
          <w:sz w:val="32"/>
          <w:szCs w:val="32"/>
          <w:shd w:val="clear" w:color="auto" w:fill="auto"/>
          <w:lang w:eastAsia="zh-CN"/>
        </w:rPr>
        <w:t>、</w:t>
      </w:r>
      <w:r>
        <w:rPr>
          <w:rFonts w:hint="default" w:ascii="Times New Roman" w:hAnsi="Times New Roman" w:eastAsia="仿宋_GB2312" w:cs="Times New Roman"/>
          <w:sz w:val="32"/>
          <w:szCs w:val="32"/>
          <w:shd w:val="clear" w:color="auto" w:fill="auto"/>
          <w:lang w:val="en-US" w:eastAsia="zh-CN"/>
        </w:rPr>
        <w:t>智能</w:t>
      </w:r>
      <w:r>
        <w:rPr>
          <w:rFonts w:hint="default" w:ascii="Times New Roman" w:hAnsi="Times New Roman" w:eastAsia="仿宋_GB2312" w:cs="Times New Roman"/>
          <w:color w:val="auto"/>
          <w:sz w:val="32"/>
          <w:szCs w:val="32"/>
          <w:shd w:val="clear" w:color="auto" w:fill="FFFFFF"/>
        </w:rPr>
        <w:t>工控安全防护</w:t>
      </w:r>
      <w:r>
        <w:rPr>
          <w:rFonts w:hint="default" w:ascii="Times New Roman" w:hAnsi="Times New Roman" w:eastAsia="仿宋_GB2312" w:cs="Times New Roman"/>
          <w:sz w:val="32"/>
          <w:szCs w:val="32"/>
          <w:shd w:val="clear" w:color="auto" w:fill="auto"/>
          <w:lang w:val="en-US" w:eastAsia="zh-CN"/>
        </w:rPr>
        <w:t>终端</w:t>
      </w:r>
      <w:r>
        <w:rPr>
          <w:rFonts w:hint="default" w:ascii="Times New Roman" w:hAnsi="Times New Roman" w:eastAsia="仿宋_GB2312" w:cs="Times New Roman"/>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FFFFFF"/>
        </w:rPr>
        <w:t>工业相机、3D扫描仪</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智能工业装备</w:t>
      </w:r>
      <w:r>
        <w:rPr>
          <w:rFonts w:hint="default" w:ascii="Times New Roman" w:hAnsi="Times New Roman" w:eastAsia="仿宋_GB2312" w:cs="Times New Roman"/>
          <w:color w:val="auto"/>
          <w:sz w:val="32"/>
          <w:szCs w:val="32"/>
          <w:shd w:val="clear" w:color="auto" w:fill="FFFFFF"/>
        </w:rPr>
        <w:t>等。</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2"/>
          <w:sz w:val="32"/>
          <w:szCs w:val="32"/>
          <w:shd w:val="clear" w:color="auto" w:fill="FFFFFF"/>
        </w:rPr>
        <w:t>（十）其他新型人工智能终端。</w:t>
      </w:r>
      <w:r>
        <w:rPr>
          <w:rFonts w:hint="default" w:ascii="Times New Roman" w:hAnsi="Times New Roman" w:eastAsia="仿宋_GB2312" w:cs="Times New Roman"/>
          <w:sz w:val="32"/>
          <w:szCs w:val="32"/>
        </w:rPr>
        <w:t>包括</w:t>
      </w:r>
      <w:r>
        <w:rPr>
          <w:rFonts w:hint="default" w:ascii="Times New Roman" w:hAnsi="Times New Roman" w:eastAsia="仿宋_GB2312" w:cs="Times New Roman"/>
          <w:color w:val="auto"/>
          <w:sz w:val="32"/>
          <w:szCs w:val="32"/>
        </w:rPr>
        <w:t>面向文创、商旅、体育、办公、医疗、教育</w:t>
      </w:r>
      <w:r>
        <w:rPr>
          <w:rFonts w:hint="default" w:ascii="Times New Roman" w:hAnsi="Times New Roman" w:eastAsia="仿宋_GB2312" w:cs="Times New Roman"/>
          <w:color w:val="auto"/>
          <w:sz w:val="32"/>
          <w:szCs w:val="32"/>
          <w:lang w:eastAsia="zh-CN"/>
        </w:rPr>
        <w:t>、康养</w:t>
      </w:r>
      <w:r>
        <w:rPr>
          <w:rFonts w:hint="default" w:ascii="Times New Roman" w:hAnsi="Times New Roman" w:eastAsia="仿宋_GB2312" w:cs="Times New Roman"/>
          <w:color w:val="auto"/>
          <w:sz w:val="32"/>
          <w:szCs w:val="32"/>
        </w:rPr>
        <w:t>等领域</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color w:val="auto"/>
          <w:sz w:val="32"/>
          <w:szCs w:val="32"/>
        </w:rPr>
        <w:t>AI玩具、AI导览、AI健身器材、AI会议系统、AI影像诊断、AI学习机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AI陪伴</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条</w:t>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_GB2312" w:cs="Times New Roman"/>
          <w:sz w:val="32"/>
          <w:szCs w:val="32"/>
        </w:rPr>
        <w:t>申报</w:t>
      </w:r>
      <w:r>
        <w:rPr>
          <w:rFonts w:hint="default" w:ascii="Times New Roman" w:hAnsi="Times New Roman" w:eastAsia="仿宋_GB2312" w:cs="Times New Roman"/>
          <w:sz w:val="32"/>
          <w:szCs w:val="32"/>
          <w:lang w:eastAsia="zh-CN"/>
        </w:rPr>
        <w:t>湖南省级人工智能终端</w:t>
      </w:r>
      <w:r>
        <w:rPr>
          <w:rFonts w:hint="default" w:ascii="Times New Roman" w:hAnsi="Times New Roman" w:eastAsia="仿宋_GB2312" w:cs="Times New Roman"/>
          <w:sz w:val="32"/>
          <w:szCs w:val="32"/>
          <w:lang w:val="en-US" w:eastAsia="zh-CN"/>
        </w:rPr>
        <w:t>产品</w:t>
      </w:r>
      <w:r>
        <w:rPr>
          <w:rFonts w:hint="default" w:ascii="Times New Roman" w:hAnsi="Times New Roman" w:eastAsia="仿宋_GB2312" w:cs="Times New Roman"/>
          <w:sz w:val="32"/>
          <w:szCs w:val="32"/>
          <w:lang w:eastAsia="zh-CN"/>
        </w:rPr>
        <w:t>认定的企业</w:t>
      </w:r>
      <w:r>
        <w:rPr>
          <w:rFonts w:hint="default" w:ascii="Times New Roman" w:hAnsi="Times New Roman" w:eastAsia="仿宋_GB2312" w:cs="Times New Roman"/>
          <w:sz w:val="32"/>
          <w:szCs w:val="32"/>
        </w:rPr>
        <w:t>需同时满足以下基本条件：</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（一）具有独立法人资格，运营和财务状况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信用状态</w:t>
      </w:r>
      <w:r>
        <w:rPr>
          <w:rFonts w:hint="default" w:ascii="Times New Roman" w:hAnsi="Times New Roman" w:eastAsia="仿宋_GB2312" w:cs="Times New Roman"/>
          <w:sz w:val="32"/>
          <w:szCs w:val="32"/>
        </w:rPr>
        <w:t>良好，近三年无重大安全、环保、质量等违法违规记录。</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（二）拥有较强的技术研发能力和稳定的研发团队，重视人工智能终端产品的研发投入。</w:t>
      </w:r>
    </w:p>
    <w:p>
      <w:pPr>
        <w:keepNext w:val="0"/>
        <w:keepLines w:val="0"/>
        <w:pageBreakBefore w:val="0"/>
        <w:widowControl w:val="0"/>
        <w:kinsoku/>
        <w:wordWrap/>
        <w:overflowPunct/>
        <w:topLinePunct w:val="0"/>
        <w:autoSpaceDE/>
        <w:autoSpaceDN/>
        <w:bidi w:val="0"/>
        <w:spacing w:line="600" w:lineRule="exact"/>
        <w:ind w:left="638" w:leftChars="304" w:firstLine="0" w:firstLine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（三）已建立完善的质量管理、环境管理、信息安全等体系。</w:t>
      </w:r>
    </w:p>
    <w:p>
      <w:pPr>
        <w:keepNext w:val="0"/>
        <w:keepLines w:val="0"/>
        <w:pageBreakBefore w:val="0"/>
        <w:widowControl w:val="0"/>
        <w:kinsoku/>
        <w:wordWrap/>
        <w:overflowPunct/>
        <w:topLinePunct w:val="0"/>
        <w:autoSpaceDE/>
        <w:autoSpaceDN/>
        <w:bidi w:val="0"/>
        <w:spacing w:line="600" w:lineRule="exact"/>
        <w:ind w:left="638" w:leftChars="304" w:firstLine="0" w:firstLineChars="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条</w:t>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_GB2312" w:cs="Times New Roman"/>
          <w:sz w:val="32"/>
          <w:szCs w:val="32"/>
        </w:rPr>
        <w:t>申报</w:t>
      </w:r>
      <w:r>
        <w:rPr>
          <w:rFonts w:hint="default" w:ascii="Times New Roman" w:hAnsi="Times New Roman" w:eastAsia="仿宋_GB2312" w:cs="Times New Roman"/>
          <w:sz w:val="32"/>
          <w:szCs w:val="32"/>
          <w:lang w:eastAsia="zh-CN"/>
        </w:rPr>
        <w:t>湖南省级人工智能终端</w:t>
      </w:r>
      <w:r>
        <w:rPr>
          <w:rFonts w:hint="default" w:ascii="Times New Roman" w:hAnsi="Times New Roman" w:eastAsia="仿宋_GB2312" w:cs="Times New Roman"/>
          <w:sz w:val="32"/>
          <w:szCs w:val="32"/>
        </w:rPr>
        <w:t>产品应满足以下</w:t>
      </w:r>
      <w:r>
        <w:rPr>
          <w:rFonts w:hint="default" w:ascii="Times New Roman" w:hAnsi="Times New Roman" w:eastAsia="仿宋_GB2312" w:cs="Times New Roman"/>
          <w:sz w:val="32"/>
          <w:szCs w:val="32"/>
          <w:lang w:val="en-US" w:eastAsia="zh-CN"/>
        </w:rPr>
        <w:t>要</w:t>
      </w:r>
      <w:r>
        <w:rPr>
          <w:rFonts w:hint="default" w:ascii="Times New Roman" w:hAnsi="Times New Roman" w:eastAsia="仿宋_GB2312" w:cs="Times New Roman"/>
          <w:sz w:val="32"/>
          <w:szCs w:val="32"/>
        </w:rPr>
        <w:t>求：</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（一）知识产权明晰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拥有产品核心技术的自主知识产权（如专利、计算机软件著作权）或合法的授权使用许可，权属清晰。</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（二）技术先进创新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产品在结构、材料、工艺、功能等方面有重大创新或突破，技术指标达到行业先进水平，或能够填补省内、国内空白。</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（三）质量安全可靠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产品通过具备资质的检验检测机构的检测，符合国家及行业相关标准，并通过必要的安全认证。</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（四）市场前景良好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产品已实现市场化销售，具有明确的应用场景和较好的市场前景，对产业发展具有带动作用。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申报和认定程序</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第八条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省工业和信息化厅定期发布</w:t>
      </w:r>
      <w:r>
        <w:rPr>
          <w:rFonts w:hint="default" w:ascii="Times New Roman" w:hAnsi="Times New Roman" w:eastAsia="仿宋_GB2312" w:cs="Times New Roman"/>
          <w:sz w:val="32"/>
          <w:szCs w:val="32"/>
          <w:lang w:val="en-US" w:eastAsia="zh-CN"/>
        </w:rPr>
        <w:t>省级</w:t>
      </w:r>
      <w:r>
        <w:rPr>
          <w:rFonts w:hint="default" w:ascii="Times New Roman" w:hAnsi="Times New Roman" w:eastAsia="仿宋_GB2312" w:cs="Times New Roman"/>
          <w:sz w:val="32"/>
          <w:szCs w:val="32"/>
        </w:rPr>
        <w:t>人工智能终端产品认定申报通知，明确具体要求和时间安排。</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第九条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符合条件的企业按照通知要求，向所在地的市州工业和信息化主管部门提交以下申报材料：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湖南省级人工智能终端</w:t>
      </w:r>
      <w:r>
        <w:rPr>
          <w:rFonts w:hint="default" w:ascii="Times New Roman" w:hAnsi="Times New Roman" w:eastAsia="仿宋_GB2312" w:cs="Times New Roman"/>
          <w:sz w:val="32"/>
          <w:szCs w:val="32"/>
          <w:lang w:val="en-US" w:eastAsia="zh-CN"/>
        </w:rPr>
        <w:t>产品</w:t>
      </w:r>
      <w:r>
        <w:rPr>
          <w:rFonts w:hint="default" w:ascii="Times New Roman" w:hAnsi="Times New Roman" w:eastAsia="仿宋_GB2312" w:cs="Times New Roman"/>
          <w:sz w:val="32"/>
          <w:szCs w:val="32"/>
        </w:rPr>
        <w:t>申报表》；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申报单位法定代表人身份证复印件、营业执照（副本）复印件；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近两年财务审计报告（新成立企业提供自成立以来的财务报表及说明）；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产品专项材料，包括：第三方质量检测报告（需具备CNAS等合规资质）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知识产权证明（申报单位原始取得的相关证书，或合法有效的授权使用协议、委托开发合同等）</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若为代工/组装生产企业，需额外提供品牌方知悉申报且自愿放弃本政策相关权益的书面说明（加盖品牌方公章）</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应用证明材料，包括应用场景说明、用户使用报告（需终端产品实际使用方签字或盖章）；若使用方与品牌方一致，可提供品牌方出具的产品批量应用证明及对应的销售交付凭证（如合同、发票等）替代；</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产品销售合同、发票等市场应用证明；</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申报单位认为有必要补充的其他材料（如产品获奖证书、行业资质认证、生产能力证明等）。</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第十条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各市州工业和信息化主管部门负责对辖区内企业的申报材料进行初审和现场核查，确保材料真实、完整、合规，并以正式文件向省工业和信息化厅出具推荐意见。</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第十一条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省工业和信息化厅按以下程序组织认定：</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lang w:val="en-US" w:eastAsia="zh-CN"/>
        </w:rPr>
        <w:t>形式</w:t>
      </w:r>
      <w:r>
        <w:rPr>
          <w:rFonts w:hint="default" w:ascii="Times New Roman" w:hAnsi="Times New Roman" w:eastAsia="仿宋_GB2312" w:cs="Times New Roman"/>
          <w:sz w:val="32"/>
          <w:szCs w:val="32"/>
        </w:rPr>
        <w:t>审查：对申报材料的完整性、规范性进行审查。</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（二）专家评审：组织行业技术、管理、财务等领域专家成立评审组，对通过形式审查的产品进行集中评审，必要时进行现场核查。</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（三）公示：省工业和信息化厅根据专家评审意见，提出拟认定产品名单，并在厅门户网站公示</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个工作日。</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（四）发布名单：</w:t>
      </w:r>
      <w:r>
        <w:rPr>
          <w:rFonts w:hint="default"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rPr>
        <w:t>公示期满无异议或虽有异议但经核查</w:t>
      </w:r>
      <w:r>
        <w:rPr>
          <w:rFonts w:hint="default" w:ascii="Times New Roman" w:hAnsi="Times New Roman" w:eastAsia="仿宋_GB2312" w:cs="Times New Roman"/>
          <w:sz w:val="32"/>
          <w:szCs w:val="32"/>
          <w:lang w:val="en-US" w:eastAsia="zh-CN"/>
        </w:rPr>
        <w:t>通过</w:t>
      </w:r>
      <w:r>
        <w:rPr>
          <w:rFonts w:hint="default" w:ascii="Times New Roman" w:hAnsi="Times New Roman" w:eastAsia="仿宋_GB2312" w:cs="Times New Roman"/>
          <w:sz w:val="32"/>
          <w:szCs w:val="32"/>
        </w:rPr>
        <w:t>的产品，由省工业和信息化厅公布</w:t>
      </w:r>
      <w:r>
        <w:rPr>
          <w:rFonts w:hint="default" w:ascii="Times New Roman" w:hAnsi="Times New Roman" w:eastAsia="仿宋_GB2312" w:cs="Times New Roman"/>
          <w:sz w:val="32"/>
          <w:szCs w:val="32"/>
          <w:lang w:eastAsia="zh-CN"/>
        </w:rPr>
        <w:t>湖南省级人工智能终端</w:t>
      </w:r>
      <w:r>
        <w:rPr>
          <w:rFonts w:hint="default" w:ascii="Times New Roman" w:hAnsi="Times New Roman" w:eastAsia="仿宋_GB2312" w:cs="Times New Roman"/>
          <w:sz w:val="32"/>
          <w:szCs w:val="32"/>
          <w:lang w:val="en-US" w:eastAsia="zh-CN"/>
        </w:rPr>
        <w:t>产品</w:t>
      </w:r>
      <w:r>
        <w:rPr>
          <w:rFonts w:hint="default" w:ascii="Times New Roman" w:hAnsi="Times New Roman" w:eastAsia="仿宋_GB2312" w:cs="Times New Roman"/>
          <w:sz w:val="32"/>
          <w:szCs w:val="32"/>
        </w:rPr>
        <w:t>认定名单；公示有异议且核查属实的，取消认定资格。</w:t>
      </w:r>
    </w:p>
    <w:p>
      <w:pPr>
        <w:pStyle w:val="2"/>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cs="Times New Roman"/>
        </w:rPr>
      </w:pPr>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第四章 管理和支持政策</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 xml:space="preserve">条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省工业和信息化厅对已认定的人工智能终端产品实施动态管理，称号有效期为</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年。有效期满前，企业可申请复核；逾期未申请或复核未通过的，不再保留</w:t>
      </w:r>
      <w:r>
        <w:rPr>
          <w:rFonts w:hint="default" w:ascii="Times New Roman" w:hAnsi="Times New Roman" w:eastAsia="仿宋_GB2312" w:cs="Times New Roman"/>
          <w:sz w:val="32"/>
          <w:szCs w:val="32"/>
          <w:lang w:eastAsia="zh-CN"/>
        </w:rPr>
        <w:t>湖南省级人工智能终端</w:t>
      </w:r>
      <w:r>
        <w:rPr>
          <w:rFonts w:hint="default" w:ascii="Times New Roman" w:hAnsi="Times New Roman" w:eastAsia="仿宋_GB2312" w:cs="Times New Roman"/>
          <w:sz w:val="32"/>
          <w:szCs w:val="32"/>
        </w:rPr>
        <w:t>产品称号。</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第十三条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有效期内，省工业和信息化厅可适时进行抽查。有效期满进行复核时，企业需提交产品技术升级、市场拓展、应用成效等情况报告。复核评价重点关注产品的持续创新能力和行业引领作用。</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第十四条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经认定的</w:t>
      </w:r>
      <w:r>
        <w:rPr>
          <w:rFonts w:hint="default" w:ascii="Times New Roman" w:hAnsi="Times New Roman" w:eastAsia="仿宋_GB2312" w:cs="Times New Roman"/>
          <w:sz w:val="32"/>
          <w:szCs w:val="32"/>
          <w:lang w:eastAsia="zh-CN"/>
        </w:rPr>
        <w:t>湖南省级人工智能终端</w:t>
      </w:r>
      <w:r>
        <w:rPr>
          <w:rFonts w:hint="default" w:ascii="Times New Roman" w:hAnsi="Times New Roman" w:eastAsia="仿宋_GB2312" w:cs="Times New Roman"/>
          <w:sz w:val="32"/>
          <w:szCs w:val="32"/>
        </w:rPr>
        <w:t>产品，符合相关专项资金管理办法条件的，可按规定申请资金奖补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在相关典型应用场景、试点示范中重点推荐</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第十五条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 xml:space="preserve"> </w:t>
      </w:r>
      <w:r>
        <w:rPr>
          <w:rFonts w:hint="default" w:ascii="Times New Roman" w:hAnsi="Times New Roman" w:eastAsia="仿宋_GB2312" w:cs="Times New Roman"/>
          <w:sz w:val="32"/>
          <w:szCs w:val="32"/>
        </w:rPr>
        <w:t>出现下列情况之一的，将取消认定资格</w:t>
      </w:r>
      <w:r>
        <w:rPr>
          <w:rFonts w:hint="default" w:ascii="Times New Roman" w:hAnsi="Times New Roman" w:eastAsia="仿宋_GB2312" w:cs="Times New Roman"/>
          <w:sz w:val="32"/>
          <w:szCs w:val="32"/>
          <w:lang w:val="en-US" w:eastAsia="zh-CN"/>
        </w:rPr>
        <w:t>或</w:t>
      </w:r>
      <w:r>
        <w:rPr>
          <w:rFonts w:hint="default" w:ascii="Times New Roman" w:hAnsi="Times New Roman" w:eastAsia="仿宋_GB2312" w:cs="Times New Roman"/>
          <w:sz w:val="32"/>
          <w:szCs w:val="32"/>
        </w:rPr>
        <w:t>撤销其称号，且</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年内不得再次申报：</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（一）在申报或复核过程中提供虚假信息和材料；</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（二）发生重大安全、质量、环境污染等事故；</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（三）产品因重大缺陷导致严重负面影响或用户投诉并经查实；</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（四）企业被列入严重失信主体名单；</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（五）其他不符合认定条件的情形。</w:t>
      </w:r>
    </w:p>
    <w:p>
      <w:pPr>
        <w:pStyle w:val="2"/>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第五章 附则</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第十六条</w:t>
      </w:r>
      <w:r>
        <w:rPr>
          <w:rFonts w:hint="default" w:ascii="Times New Roman" w:hAnsi="Times New Roman" w:eastAsia="仿宋" w:cs="Times New Roman"/>
          <w:sz w:val="32"/>
          <w:szCs w:val="32"/>
        </w:rPr>
        <w:t xml:space="preserve"> </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_GB2312" w:cs="Times New Roman"/>
          <w:sz w:val="32"/>
          <w:szCs w:val="32"/>
        </w:rPr>
        <w:t>本办法自</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rPr>
        <w:t>6</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29</w:t>
      </w:r>
      <w:r>
        <w:rPr>
          <w:rFonts w:hint="default" w:ascii="Times New Roman" w:hAnsi="Times New Roman" w:eastAsia="仿宋_GB2312" w:cs="Times New Roman"/>
          <w:sz w:val="32"/>
          <w:szCs w:val="32"/>
          <w:highlight w:val="none"/>
        </w:rPr>
        <w:t>日起</w:t>
      </w:r>
      <w:r>
        <w:rPr>
          <w:rFonts w:hint="default" w:ascii="Times New Roman" w:hAnsi="Times New Roman" w:eastAsia="仿宋_GB2312" w:cs="Times New Roman"/>
          <w:sz w:val="32"/>
          <w:szCs w:val="32"/>
        </w:rPr>
        <w:t>施行，有效期</w:t>
      </w:r>
      <w:r>
        <w:rPr>
          <w:rFonts w:hint="default" w:ascii="Times New Roman" w:hAnsi="Times New Roman" w:eastAsia="仿宋_GB2312" w:cs="Times New Roman"/>
          <w:sz w:val="32"/>
          <w:szCs w:val="32"/>
          <w:lang w:val="en-US"/>
        </w:rPr>
        <w:t>2</w:t>
      </w:r>
      <w:r>
        <w:rPr>
          <w:rFonts w:hint="default" w:ascii="Times New Roman" w:hAnsi="Times New Roman" w:eastAsia="仿宋_GB2312" w:cs="Times New Roman"/>
          <w:sz w:val="32"/>
          <w:szCs w:val="32"/>
        </w:rPr>
        <w:t>年。</w:t>
      </w:r>
    </w:p>
    <w:p>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br w:type="page"/>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color w:val="auto"/>
          <w:sz w:val="32"/>
          <w:szCs w:val="32"/>
        </w:rPr>
      </w:pPr>
    </w:p>
    <w:p>
      <w:pPr>
        <w:adjustRightInd w:val="0"/>
        <w:snapToGrid w:val="0"/>
        <w:spacing w:line="600" w:lineRule="exact"/>
        <w:ind w:firstLine="640" w:firstLineChars="200"/>
        <w:rPr>
          <w:rFonts w:hint="default" w:ascii="Times New Roman" w:hAnsi="Times New Roman" w:eastAsia="仿宋" w:cs="Times New Roman"/>
          <w:color w:val="auto"/>
          <w:sz w:val="32"/>
          <w:szCs w:val="32"/>
        </w:rPr>
      </w:pPr>
    </w:p>
    <w:p>
      <w:pPr>
        <w:adjustRightInd w:val="0"/>
        <w:snapToGrid w:val="0"/>
        <w:spacing w:line="600" w:lineRule="exact"/>
        <w:ind w:firstLine="640" w:firstLineChars="200"/>
        <w:rPr>
          <w:rFonts w:hint="default" w:ascii="Times New Roman" w:hAnsi="Times New Roman" w:eastAsia="仿宋" w:cs="Times New Roman"/>
          <w:color w:val="auto"/>
          <w:sz w:val="32"/>
          <w:szCs w:val="32"/>
        </w:rPr>
      </w:pPr>
    </w:p>
    <w:p>
      <w:pPr>
        <w:adjustRightInd w:val="0"/>
        <w:snapToGrid w:val="0"/>
        <w:spacing w:line="600" w:lineRule="exact"/>
        <w:ind w:firstLine="640" w:firstLineChars="200"/>
        <w:rPr>
          <w:rFonts w:hint="default" w:ascii="Times New Roman" w:hAnsi="Times New Roman" w:eastAsia="仿宋" w:cs="Times New Roman"/>
          <w:color w:val="auto"/>
          <w:sz w:val="32"/>
          <w:szCs w:val="32"/>
        </w:rPr>
      </w:pPr>
    </w:p>
    <w:p>
      <w:pPr>
        <w:adjustRightInd w:val="0"/>
        <w:snapToGrid w:val="0"/>
        <w:spacing w:line="600" w:lineRule="exact"/>
        <w:ind w:firstLine="640" w:firstLineChars="200"/>
        <w:rPr>
          <w:rFonts w:hint="default" w:ascii="Times New Roman" w:hAnsi="Times New Roman" w:eastAsia="仿宋" w:cs="Times New Roman"/>
          <w:color w:val="auto"/>
          <w:sz w:val="32"/>
          <w:szCs w:val="32"/>
        </w:rPr>
      </w:pPr>
    </w:p>
    <w:p>
      <w:pPr>
        <w:adjustRightInd w:val="0"/>
        <w:snapToGrid w:val="0"/>
        <w:spacing w:line="600" w:lineRule="exact"/>
        <w:ind w:firstLine="640" w:firstLineChars="200"/>
        <w:rPr>
          <w:rFonts w:hint="default" w:ascii="Times New Roman" w:hAnsi="Times New Roman" w:eastAsia="仿宋" w:cs="Times New Roman"/>
          <w:color w:val="auto"/>
          <w:sz w:val="32"/>
          <w:szCs w:val="32"/>
        </w:rPr>
      </w:pPr>
    </w:p>
    <w:p>
      <w:pPr>
        <w:adjustRightInd w:val="0"/>
        <w:snapToGrid w:val="0"/>
        <w:spacing w:line="600" w:lineRule="exact"/>
        <w:ind w:firstLine="640" w:firstLineChars="200"/>
        <w:rPr>
          <w:rFonts w:hint="default" w:ascii="Times New Roman" w:hAnsi="Times New Roman" w:eastAsia="仿宋" w:cs="Times New Roman"/>
          <w:color w:val="auto"/>
          <w:sz w:val="32"/>
          <w:szCs w:val="32"/>
        </w:rPr>
      </w:pPr>
    </w:p>
    <w:p>
      <w:pPr>
        <w:adjustRightInd w:val="0"/>
        <w:snapToGrid w:val="0"/>
        <w:spacing w:line="600" w:lineRule="exact"/>
        <w:ind w:firstLine="640" w:firstLineChars="200"/>
        <w:rPr>
          <w:rFonts w:hint="default" w:ascii="Times New Roman" w:hAnsi="Times New Roman" w:eastAsia="仿宋" w:cs="Times New Roman"/>
          <w:color w:val="auto"/>
          <w:sz w:val="32"/>
          <w:szCs w:val="32"/>
        </w:rPr>
      </w:pPr>
    </w:p>
    <w:p>
      <w:pPr>
        <w:adjustRightInd w:val="0"/>
        <w:snapToGrid w:val="0"/>
        <w:spacing w:line="600" w:lineRule="exact"/>
        <w:ind w:firstLine="640" w:firstLineChars="200"/>
        <w:rPr>
          <w:rFonts w:hint="default" w:ascii="Times New Roman" w:hAnsi="Times New Roman" w:eastAsia="仿宋" w:cs="Times New Roman"/>
          <w:color w:val="auto"/>
          <w:sz w:val="32"/>
          <w:szCs w:val="32"/>
        </w:rPr>
      </w:pPr>
    </w:p>
    <w:p>
      <w:pPr>
        <w:adjustRightInd w:val="0"/>
        <w:snapToGrid w:val="0"/>
        <w:spacing w:line="600" w:lineRule="exact"/>
        <w:ind w:firstLine="640" w:firstLineChars="200"/>
        <w:rPr>
          <w:rFonts w:hint="default" w:ascii="Times New Roman" w:hAnsi="Times New Roman" w:eastAsia="仿宋" w:cs="Times New Roman"/>
          <w:color w:val="auto"/>
          <w:sz w:val="32"/>
          <w:szCs w:val="32"/>
        </w:rPr>
      </w:pPr>
    </w:p>
    <w:p>
      <w:pPr>
        <w:adjustRightInd w:val="0"/>
        <w:snapToGrid w:val="0"/>
        <w:spacing w:line="600" w:lineRule="exact"/>
        <w:ind w:firstLine="640" w:firstLineChars="200"/>
        <w:rPr>
          <w:rFonts w:hint="default" w:ascii="Times New Roman" w:hAnsi="Times New Roman" w:eastAsia="仿宋" w:cs="Times New Roman"/>
          <w:color w:val="auto"/>
          <w:sz w:val="32"/>
          <w:szCs w:val="32"/>
        </w:rPr>
      </w:pPr>
    </w:p>
    <w:p>
      <w:pPr>
        <w:adjustRightInd w:val="0"/>
        <w:snapToGrid w:val="0"/>
        <w:spacing w:line="600" w:lineRule="exact"/>
        <w:ind w:firstLine="640" w:firstLineChars="200"/>
        <w:rPr>
          <w:rFonts w:hint="default" w:ascii="Times New Roman" w:hAnsi="Times New Roman" w:eastAsia="仿宋" w:cs="Times New Roman"/>
          <w:color w:val="auto"/>
          <w:sz w:val="32"/>
          <w:szCs w:val="32"/>
        </w:rPr>
      </w:pPr>
    </w:p>
    <w:p>
      <w:pPr>
        <w:adjustRightInd w:val="0"/>
        <w:snapToGrid w:val="0"/>
        <w:spacing w:line="600" w:lineRule="exact"/>
        <w:ind w:firstLine="640" w:firstLineChars="200"/>
        <w:rPr>
          <w:rFonts w:hint="default" w:ascii="Times New Roman" w:hAnsi="Times New Roman" w:eastAsia="仿宋" w:cs="Times New Roman"/>
          <w:color w:val="auto"/>
          <w:sz w:val="32"/>
          <w:szCs w:val="32"/>
        </w:rPr>
      </w:pPr>
    </w:p>
    <w:p>
      <w:pPr>
        <w:adjustRightInd w:val="0"/>
        <w:snapToGrid w:val="0"/>
        <w:spacing w:line="600" w:lineRule="exact"/>
        <w:ind w:firstLine="640" w:firstLineChars="200"/>
        <w:rPr>
          <w:rFonts w:hint="default" w:ascii="Times New Roman" w:hAnsi="Times New Roman" w:eastAsia="仿宋" w:cs="Times New Roman"/>
          <w:color w:val="auto"/>
          <w:sz w:val="32"/>
          <w:szCs w:val="32"/>
        </w:rPr>
      </w:pPr>
    </w:p>
    <w:p>
      <w:pPr>
        <w:adjustRightInd w:val="0"/>
        <w:snapToGrid w:val="0"/>
        <w:spacing w:line="600" w:lineRule="exact"/>
        <w:ind w:firstLine="640" w:firstLineChars="200"/>
        <w:rPr>
          <w:rFonts w:hint="default" w:ascii="Times New Roman" w:hAnsi="Times New Roman" w:eastAsia="仿宋" w:cs="Times New Roman"/>
          <w:color w:val="auto"/>
          <w:sz w:val="32"/>
          <w:szCs w:val="32"/>
        </w:rPr>
      </w:pPr>
    </w:p>
    <w:p>
      <w:pPr>
        <w:adjustRightInd w:val="0"/>
        <w:snapToGrid w:val="0"/>
        <w:spacing w:line="600" w:lineRule="exact"/>
        <w:ind w:firstLine="640" w:firstLineChars="200"/>
        <w:rPr>
          <w:rFonts w:hint="default" w:ascii="Times New Roman" w:hAnsi="Times New Roman" w:eastAsia="仿宋" w:cs="Times New Roman"/>
          <w:color w:val="auto"/>
          <w:sz w:val="32"/>
          <w:szCs w:val="32"/>
        </w:rPr>
      </w:pPr>
    </w:p>
    <w:p>
      <w:pPr>
        <w:adjustRightInd w:val="0"/>
        <w:snapToGrid w:val="0"/>
        <w:spacing w:line="600" w:lineRule="exact"/>
        <w:ind w:firstLine="640" w:firstLineChars="200"/>
        <w:rPr>
          <w:rFonts w:hint="default" w:ascii="Times New Roman" w:hAnsi="Times New Roman" w:eastAsia="仿宋" w:cs="Times New Roman"/>
          <w:color w:val="auto"/>
          <w:sz w:val="32"/>
          <w:szCs w:val="32"/>
        </w:rPr>
      </w:pPr>
      <w:bookmarkStart w:id="0" w:name="_GoBack"/>
      <w:bookmarkEnd w:id="0"/>
    </w:p>
    <w:p>
      <w:pPr>
        <w:adjustRightInd w:val="0"/>
        <w:snapToGrid w:val="0"/>
        <w:spacing w:line="600" w:lineRule="exact"/>
        <w:ind w:firstLine="640" w:firstLineChars="200"/>
        <w:rPr>
          <w:rFonts w:hint="default" w:ascii="Times New Roman" w:hAnsi="Times New Roman" w:eastAsia="仿宋" w:cs="Times New Roman"/>
          <w:color w:val="auto"/>
          <w:sz w:val="32"/>
          <w:szCs w:val="32"/>
        </w:rPr>
      </w:pPr>
    </w:p>
    <w:p>
      <w:pPr>
        <w:spacing w:after="0" w:line="600" w:lineRule="exact"/>
        <w:ind w:firstLine="684" w:firstLineChars="100"/>
        <w:rPr>
          <w:rFonts w:hint="default" w:ascii="Times New Roman" w:hAnsi="Times New Roman" w:eastAsia="方正小标宋简体" w:cs="Times New Roman"/>
          <w:w w:val="90"/>
          <w:sz w:val="76"/>
          <w:szCs w:val="76"/>
        </w:rPr>
      </w:pPr>
    </w:p>
    <w:p>
      <w:pPr>
        <w:pBdr>
          <w:top w:val="single" w:color="auto" w:sz="4" w:space="1"/>
          <w:bottom w:val="single" w:color="auto" w:sz="4" w:space="1"/>
        </w:pBdr>
        <w:spacing w:line="600" w:lineRule="exact"/>
        <w:ind w:firstLine="210" w:firstLineChars="100"/>
        <w:rPr>
          <w:rFonts w:hint="default" w:ascii="Times New Roman" w:hAnsi="Times New Roman" w:eastAsia="仿宋" w:cs="Times New Roman"/>
          <w:color w:val="auto"/>
          <w:sz w:val="32"/>
          <w:szCs w:val="32"/>
        </w:rPr>
      </w:pPr>
      <w:r>
        <w:rPr>
          <w:rFonts w:hint="default" w:ascii="Times New Roman" w:hAnsi="Times New Roman" w:eastAsia="仿宋" w:cs="Times New Roman"/>
        </w:rPr>
        <mc:AlternateContent>
          <mc:Choice Requires="wps">
            <w:drawing>
              <wp:anchor distT="45720" distB="45720" distL="114300" distR="114300" simplePos="0" relativeHeight="251661312" behindDoc="1" locked="0" layoutInCell="1" allowOverlap="1">
                <wp:simplePos x="0" y="0"/>
                <wp:positionH relativeFrom="column">
                  <wp:posOffset>13970</wp:posOffset>
                </wp:positionH>
                <wp:positionV relativeFrom="paragraph">
                  <wp:posOffset>323850</wp:posOffset>
                </wp:positionV>
                <wp:extent cx="2258060" cy="673735"/>
                <wp:effectExtent l="4445" t="4445" r="23495" b="7620"/>
                <wp:wrapNone/>
                <wp:docPr id="3" name="文本框 3"/>
                <wp:cNvGraphicFramePr/>
                <a:graphic xmlns:a="http://schemas.openxmlformats.org/drawingml/2006/main">
                  <a:graphicData uri="http://schemas.microsoft.com/office/word/2010/wordprocessingShape">
                    <wps:wsp>
                      <wps:cNvSpPr txBox="true"/>
                      <wps:spPr>
                        <a:xfrm>
                          <a:off x="0" y="0"/>
                          <a:ext cx="2258060" cy="673735"/>
                        </a:xfrm>
                        <a:prstGeom prst="rect">
                          <a:avLst/>
                        </a:prstGeom>
                        <a:solidFill>
                          <a:srgbClr val="FFFFFF"/>
                        </a:solidFill>
                        <a:ln w="9525" cap="flat" cmpd="sng">
                          <a:solidFill>
                            <a:srgbClr val="FFFFFF"/>
                          </a:solidFill>
                          <a:prstDash val="solid"/>
                          <a:miter/>
                          <a:headEnd type="none" w="med" len="med"/>
                          <a:tailEnd type="none" w="med" len="med"/>
                        </a:ln>
                      </wps:spPr>
                      <wps:txbx>
                        <w:txbxContent>
                          <w:p/>
                        </w:txbxContent>
                      </wps:txbx>
                      <wps:bodyPr anchor="t" anchorCtr="false" upright="true"/>
                    </wps:wsp>
                  </a:graphicData>
                </a:graphic>
              </wp:anchor>
            </w:drawing>
          </mc:Choice>
          <mc:Fallback>
            <w:pict>
              <v:shape id="_x0000_s1026" o:spid="_x0000_s1026" o:spt="202" type="#_x0000_t202" style="position:absolute;left:0pt;margin-left:1.1pt;margin-top:25.5pt;height:53.05pt;width:177.8pt;z-index:-251655168;mso-width-relative:page;mso-height-relative:page;" fillcolor="#FFFFFF" filled="t" stroked="t" coordsize="21600,21600" o:gfxdata="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LO6EF9YAAAAIAQAADwAAAAAA&#10;AAABACAAAAA4AAAAZHJzL2Rvd25yZXYueG1sUEsBAhQAFAAAAAgAh07iQMRK1iX/AQAACwQAAA4A&#10;AAAAAAAAAQAgAAAAOwEAAGRycy9lMm9Eb2MueG1sUEsFBgAAAAAGAAYAWQEAAKwFAAAAAA==&#10;">
                <v:fill on="t" focussize="0,0"/>
                <v:stroke color="#FFFFFF" joinstyle="miter"/>
                <v:imagedata o:title=""/>
                <o:lock v:ext="edit" aspectratio="f"/>
                <v:textbox>
                  <w:txbxContent>
                    <w:p/>
                  </w:txbxContent>
                </v:textbox>
              </v:shape>
            </w:pict>
          </mc:Fallback>
        </mc:AlternateContent>
      </w:r>
      <w:r>
        <w:rPr>
          <w:rFonts w:hint="default" w:ascii="Times New Roman" w:hAnsi="Times New Roman" w:eastAsia="仿宋" w:cs="Times New Roman"/>
          <w:sz w:val="28"/>
          <w:szCs w:val="28"/>
        </w:rPr>
        <w:t xml:space="preserve">湖南省工业和信息化厅办公室　　      </w:t>
      </w:r>
      <w:r>
        <w:rPr>
          <w:rFonts w:hint="default"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 xml:space="preserve">  　  20</w:t>
      </w:r>
      <w:r>
        <w:rPr>
          <w:rFonts w:hint="default" w:ascii="Times New Roman" w:hAnsi="Times New Roman" w:eastAsia="仿宋" w:cs="Times New Roman"/>
          <w:sz w:val="28"/>
          <w:szCs w:val="28"/>
          <w:lang w:val="en-US" w:eastAsia="zh-CN"/>
        </w:rPr>
        <w:t>26</w:t>
      </w:r>
      <w:r>
        <w:rPr>
          <w:rFonts w:hint="default" w:ascii="Times New Roman" w:hAnsi="Times New Roman" w:eastAsia="仿宋" w:cs="Times New Roman"/>
          <w:sz w:val="28"/>
          <w:szCs w:val="28"/>
        </w:rPr>
        <w:t>年</w:t>
      </w:r>
      <w:r>
        <w:rPr>
          <w:rFonts w:hint="default" w:ascii="Times New Roman" w:hAnsi="Times New Roman" w:eastAsia="仿宋" w:cs="Times New Roman"/>
          <w:sz w:val="28"/>
          <w:szCs w:val="28"/>
          <w:lang w:val="en-US" w:eastAsia="zh-CN"/>
        </w:rPr>
        <w:t>2</w:t>
      </w:r>
      <w:r>
        <w:rPr>
          <w:rFonts w:hint="default" w:ascii="Times New Roman" w:hAnsi="Times New Roman" w:eastAsia="仿宋" w:cs="Times New Roman"/>
          <w:sz w:val="28"/>
          <w:szCs w:val="28"/>
        </w:rPr>
        <w:t>月</w:t>
      </w:r>
      <w:r>
        <w:rPr>
          <w:rFonts w:hint="eastAsia" w:ascii="Times New Roman" w:hAnsi="Times New Roman" w:eastAsia="仿宋" w:cs="Times New Roman"/>
          <w:sz w:val="28"/>
          <w:szCs w:val="28"/>
          <w:lang w:val="en-US" w:eastAsia="zh-CN"/>
        </w:rPr>
        <w:t>25</w:t>
      </w:r>
      <w:r>
        <w:rPr>
          <w:rFonts w:hint="default" w:ascii="Times New Roman" w:hAnsi="Times New Roman" w:eastAsia="仿宋" w:cs="Times New Roman"/>
          <w:sz w:val="28"/>
          <w:szCs w:val="28"/>
        </w:rPr>
        <w:t>日印发</w:t>
      </w:r>
    </w:p>
    <w:sectPr>
      <w:footerReference r:id="rId3" w:type="default"/>
      <w:pgSz w:w="11906" w:h="16838"/>
      <w:pgMar w:top="2098" w:right="1247" w:bottom="141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7A"/>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E71DA0"/>
    <w:rsid w:val="34DD3A86"/>
    <w:rsid w:val="37F00396"/>
    <w:rsid w:val="3E7C960A"/>
    <w:rsid w:val="3FFFB7DC"/>
    <w:rsid w:val="497155C9"/>
    <w:rsid w:val="532C6BA9"/>
    <w:rsid w:val="549D3005"/>
    <w:rsid w:val="5F9BA3BF"/>
    <w:rsid w:val="7B7271CE"/>
    <w:rsid w:val="7FDF4F36"/>
    <w:rsid w:val="7FFA806D"/>
    <w:rsid w:val="FAA0DEBE"/>
    <w:rsid w:val="FDB7D23B"/>
    <w:rsid w:val="FFBFF96D"/>
    <w:rsid w:val="FFFA5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jc w:val="both"/>
    </w:pPr>
    <w:rPr>
      <w:rFonts w:ascii="Times New Roman" w:hAnsi="Times New Roman" w:eastAsia="宋体" w:cs="Times New Roman"/>
      <w:kern w:val="2"/>
      <w:sz w:val="30"/>
      <w:szCs w:val="20"/>
      <w:lang w:val="en-US" w:eastAsia="zh-CN" w:bidi="ar-SA"/>
    </w:rPr>
  </w:style>
  <w:style w:type="paragraph" w:customStyle="1" w:styleId="3">
    <w:name w:val="正文首行缩进1"/>
    <w:basedOn w:val="1"/>
    <w:qFormat/>
    <w:uiPriority w:val="0"/>
    <w:pPr>
      <w:spacing w:after="120"/>
      <w:ind w:firstLine="100" w:firstLineChars="100"/>
    </w:pPr>
    <w:rPr>
      <w:rFonts w:ascii="Times New Roman" w:hAnsi="Times New Roman" w:eastAsia="宋体" w:cs="Times New Roman"/>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kobe</dc:creator>
  <cp:lastModifiedBy>林佳璇</cp:lastModifiedBy>
  <cp:lastPrinted>2026-01-29T16:35:00Z</cp:lastPrinted>
  <dcterms:modified xsi:type="dcterms:W3CDTF">2026-03-03T20:42:11Z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B9F5AC14AE8113D332E88E697435D5A0</vt:lpwstr>
  </property>
</Properties>
</file>