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EC7C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distribute"/>
        <w:textAlignment w:val="auto"/>
        <w:outlineLvl w:val="9"/>
        <w:rPr>
          <w:rFonts w:hint="eastAsia" w:eastAsia="方正大标宋简体" w:cs="方正大标宋简体"/>
          <w:color w:val="FF0000"/>
          <w:w w:val="70"/>
          <w:sz w:val="80"/>
          <w:szCs w:val="80"/>
        </w:rPr>
      </w:pPr>
      <w:bookmarkStart w:id="2" w:name="_GoBack"/>
      <w:bookmarkEnd w:id="2"/>
      <w:r>
        <w:rPr>
          <w:rFonts w:hint="default"/>
          <w:sz w:val="32"/>
        </w:rPr>
        <mc:AlternateContent>
          <mc:Choice Requires="wps">
            <w:drawing>
              <wp:anchor distT="0" distB="0" distL="114300" distR="114300" simplePos="0" relativeHeight="251660288" behindDoc="0" locked="0" layoutInCell="1" allowOverlap="1">
                <wp:simplePos x="0" y="0"/>
                <wp:positionH relativeFrom="column">
                  <wp:posOffset>-24130</wp:posOffset>
                </wp:positionH>
                <wp:positionV relativeFrom="paragraph">
                  <wp:posOffset>-409575</wp:posOffset>
                </wp:positionV>
                <wp:extent cx="2417445" cy="416560"/>
                <wp:effectExtent l="0" t="0" r="1905" b="2540"/>
                <wp:wrapNone/>
                <wp:docPr id="2" name="文本框 2"/>
                <wp:cNvGraphicFramePr/>
                <a:graphic xmlns:a="http://schemas.openxmlformats.org/drawingml/2006/main">
                  <a:graphicData uri="http://schemas.microsoft.com/office/word/2010/wordprocessingShape">
                    <wps:wsp>
                      <wps:cNvSpPr txBox="1"/>
                      <wps:spPr>
                        <a:xfrm>
                          <a:off x="964565" y="748665"/>
                          <a:ext cx="2417445" cy="416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DD6CA">
                            <w:pPr>
                              <w:rPr>
                                <w:rFonts w:hint="default" w:ascii="Times New Roman" w:hAnsi="Times New Roman" w:eastAsia="宋体" w:cs="Times New Roman"/>
                                <w:sz w:val="32"/>
                                <w:szCs w:val="32"/>
                                <w:lang w:val="en-US" w:eastAsia="zh-CN"/>
                              </w:rPr>
                            </w:pPr>
                            <w:r>
                              <w:rPr>
                                <w:rFonts w:hint="default" w:ascii="Times New Roman" w:hAnsi="Times New Roman" w:cs="Times New Roman"/>
                                <w:sz w:val="32"/>
                                <w:szCs w:val="32"/>
                                <w:lang w:val="en-US" w:eastAsia="zh-CN"/>
                              </w:rPr>
                              <w:t>HNPR-2025-0802</w:t>
                            </w:r>
                            <w:r>
                              <w:rPr>
                                <w:rFonts w:hint="eastAsia" w:ascii="Times New Roman" w:hAnsi="Times New Roman" w:cs="Times New Roman"/>
                                <w:sz w:val="32"/>
                                <w:szCs w:val="32"/>
                                <w:lang w:val="en-US" w:eastAsia="zh-CN"/>
                              </w:rPr>
                              <w:t>2</w:t>
                            </w:r>
                          </w:p>
                          <w:p w14:paraId="1CC0C2A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pt;margin-top:-32.25pt;height:32.8pt;width:190.35pt;z-index:251660288;mso-width-relative:page;mso-height-relative:page;" filled="f" stroked="f" coordsize="21600,21600" o:gfxdata="UEsDBAoAAAAAAIdO4kAAAAAAAAAAAAAAAAAEAAAAZHJzL1BLAwQUAAAACACHTuJAF8qnTdoAAAAI&#10;AQAADwAAAGRycy9kb3ducmV2LnhtbE2PTU/DMAyG70j8h8hI3La0GyujNJ1QpQkJscPGLtzSxmsr&#10;Eqc02Qf8eswJTpblR6+ft1hdnBUnHEPvSUE6TUAgNd701CrYv60nSxAhajLaekIFXxhgVV5fFTo3&#10;/kxbPO1iKziEQq4VdDEOuZSh6dDpMPUDEt8OfnQ68jq20oz6zOHOylmSZNLpnvhDpwesOmw+dken&#10;4KVab/S2nrnlt62eXw9Pw+f+faHU7U2aPIKIeIl/MPzqszqU7FT7I5kgrILJnM0jz+xuAYKB+X32&#10;AKJmMgVZFvJ/gfIHUEsDBBQAAAAIAIdO4kAB+DO9RwIAAHAEAAAOAAAAZHJzL2Uyb0RvYy54bWyt&#10;VMGO2jAQvVfqP1i+lwAN2V1EWNFFVJVQdyVa9Wwch0SyPa5tSOgHtH+wp15673fxHR07wKJtD3vo&#10;JYw94zd+b56Z3LZKkp2wrgad00GvT4nQHIpab3L6+dPizTUlzjNdMAla5HQvHL2dvn41acxYDKEC&#10;WQhLEES7cWNyWnlvxknieCUUcz0wQmOyBKuYx6XdJIVlDaIrmQz7/SxpwBbGAhfO4e68S9Ijon0J&#10;IJRlzcUc+FYJ7TtUKyTzSMlVtXF0Gm9bloL7+7J0whOZU2Tq4xebYLwO32Q6YeONZaaq+fEK7CVX&#10;eMZJsVpj0zPUnHlGtrb+C0rV3IKD0vc4qKQjEhVBFoP+M21WFTMickGpnTmL7v4fLP+4e7CkLnI6&#10;pEQzhQM/PP44/Px9+PWdDIM8jXFjrFoZrPPtO2jRNKd9h5uBdVtaFX6RD8H8TZaOshEl+5xepdcZ&#10;hlFm0XrCMT1MB1dpinmOBekgG2VxDskTjrHOvxegSAhyanGMUV22WzqPWFh6KgltNSxqKWMPqUmT&#10;0+ztqB8PnDN4Qmo8GNh0tw6Rb9ftkeIaij0ytNBZxBm+qLH5kjn/wCx6Ah2Dr8bf46eUgE3gGFFS&#10;gf32r/1Qj6PCLCUNeiyn7uuWWUGJ/KBxiDeDNA2mjIt0dDXEhb3MrC8zeqvuAG08wPdpeAxDvZen&#10;sLSgvuDjmoWumGKaY++c+lN45zvn4+PkYjaLRWhDw/xSrwwP0J2cs62Hso5KB5k6bY7qoRHjAI6P&#10;Jjj9ch2rnv4op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F8qnTdoAAAAIAQAADwAAAAAAAAAB&#10;ACAAAAAiAAAAZHJzL2Rvd25yZXYueG1sUEsBAhQAFAAAAAgAh07iQAH4M71HAgAAcAQAAA4AAAAA&#10;AAAAAQAgAAAAKQEAAGRycy9lMm9Eb2MueG1sUEsFBgAAAAAGAAYAWQEAAOIFAAAAAA==&#10;">
                <v:fill on="f" focussize="0,0"/>
                <v:stroke on="f" weight="0.5pt"/>
                <v:imagedata o:title=""/>
                <o:lock v:ext="edit" aspectratio="f"/>
                <v:textbox>
                  <w:txbxContent>
                    <w:p w14:paraId="63BDD6CA">
                      <w:pPr>
                        <w:rPr>
                          <w:rFonts w:hint="default" w:ascii="Times New Roman" w:hAnsi="Times New Roman" w:eastAsia="宋体" w:cs="Times New Roman"/>
                          <w:sz w:val="32"/>
                          <w:szCs w:val="32"/>
                          <w:lang w:val="en-US" w:eastAsia="zh-CN"/>
                        </w:rPr>
                      </w:pPr>
                      <w:r>
                        <w:rPr>
                          <w:rFonts w:hint="default" w:ascii="Times New Roman" w:hAnsi="Times New Roman" w:cs="Times New Roman"/>
                          <w:sz w:val="32"/>
                          <w:szCs w:val="32"/>
                          <w:lang w:val="en-US" w:eastAsia="zh-CN"/>
                        </w:rPr>
                        <w:t>HNPR-2025-0802</w:t>
                      </w:r>
                      <w:r>
                        <w:rPr>
                          <w:rFonts w:hint="eastAsia" w:ascii="Times New Roman" w:hAnsi="Times New Roman" w:cs="Times New Roman"/>
                          <w:sz w:val="32"/>
                          <w:szCs w:val="32"/>
                          <w:lang w:val="en-US" w:eastAsia="zh-CN"/>
                        </w:rPr>
                        <w:t>2</w:t>
                      </w:r>
                    </w:p>
                    <w:p w14:paraId="1CC0C2AD"/>
                  </w:txbxContent>
                </v:textbox>
              </v:shape>
            </w:pict>
          </mc:Fallback>
        </mc:AlternateContent>
      </w:r>
    </w:p>
    <w:tbl>
      <w:tblPr>
        <w:tblStyle w:val="7"/>
        <w:tblW w:w="9114" w:type="dxa"/>
        <w:jc w:val="center"/>
        <w:tblBorders>
          <w:top w:val="none" w:color="auto" w:sz="0" w:space="0"/>
          <w:left w:val="none" w:color="auto" w:sz="0" w:space="0"/>
          <w:bottom w:val="single" w:color="FFFFFF" w:themeColor="background1"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
        <w:gridCol w:w="7133"/>
        <w:gridCol w:w="1819"/>
        <w:gridCol w:w="54"/>
      </w:tblGrid>
      <w:tr w14:paraId="124CDA84">
        <w:tblPrEx>
          <w:tblBorders>
            <w:top w:val="none" w:color="auto" w:sz="0" w:space="0"/>
            <w:left w:val="none" w:color="auto" w:sz="0" w:space="0"/>
            <w:bottom w:val="single" w:color="FFFFFF" w:themeColor="background1" w:sz="6"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8" w:type="dxa"/>
          <w:trHeight w:val="2703" w:hRule="atLeast"/>
          <w:jc w:val="center"/>
        </w:trPr>
        <w:tc>
          <w:tcPr>
            <w:tcW w:w="7133" w:type="dxa"/>
            <w:tcBorders>
              <w:tl2br w:val="nil"/>
              <w:tr2bl w:val="nil"/>
            </w:tcBorders>
            <w:vAlign w:val="center"/>
          </w:tcPr>
          <w:p w14:paraId="0AC37D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840" w:lineRule="exact"/>
              <w:ind w:left="0" w:leftChars="0" w:right="0" w:rightChars="0" w:firstLine="0" w:firstLineChars="0"/>
              <w:jc w:val="distribute"/>
              <w:textAlignment w:val="auto"/>
              <w:outlineLvl w:val="9"/>
              <w:rPr>
                <w:rFonts w:hint="eastAsia" w:eastAsia="方正大标宋简体" w:cs="方正大标宋简体"/>
                <w:color w:val="FFFFFF" w:themeColor="background1"/>
                <w:w w:val="70"/>
                <w:sz w:val="80"/>
                <w:szCs w:val="80"/>
                <w:shd w:val="clear" w:color="auto" w:fill="auto"/>
                <w14:textFill>
                  <w14:solidFill>
                    <w14:schemeClr w14:val="bg1"/>
                  </w14:solidFill>
                </w14:textFill>
              </w:rPr>
            </w:pPr>
            <w:r>
              <w:rPr>
                <w:rFonts w:hint="eastAsia" w:eastAsia="方正大标宋简体" w:cs="方正大标宋简体"/>
                <w:color w:val="FFFFFF" w:themeColor="background1"/>
                <w:w w:val="70"/>
                <w:sz w:val="80"/>
                <w:szCs w:val="80"/>
                <w:shd w:val="clear" w:color="auto" w:fill="auto"/>
                <w14:textFill>
                  <w14:solidFill>
                    <w14:schemeClr w14:val="bg1"/>
                  </w14:solidFill>
                </w14:textFill>
              </w:rPr>
              <w:t>湖南省民政厅</w:t>
            </w:r>
          </w:p>
          <w:p w14:paraId="7E6681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840" w:lineRule="exact"/>
              <w:ind w:left="0" w:leftChars="0" w:right="0" w:rightChars="0" w:firstLine="0" w:firstLineChars="0"/>
              <w:jc w:val="distribute"/>
              <w:textAlignment w:val="auto"/>
              <w:outlineLvl w:val="9"/>
              <w:rPr>
                <w:rFonts w:hint="default" w:eastAsia="方正大标宋简体" w:cs="方正大标宋简体"/>
                <w:color w:val="FFFFFF" w:themeColor="background1"/>
                <w:w w:val="70"/>
                <w:sz w:val="80"/>
                <w:szCs w:val="80"/>
                <w:shd w:val="clear" w:color="auto" w:fill="auto"/>
                <w:lang w:val="en-US" w:eastAsia="zh-CN"/>
                <w14:textFill>
                  <w14:solidFill>
                    <w14:schemeClr w14:val="bg1"/>
                  </w14:solidFill>
                </w14:textFill>
              </w:rPr>
            </w:pPr>
            <w:r>
              <w:rPr>
                <w:rFonts w:hint="eastAsia" w:eastAsia="方正大标宋简体" w:cs="方正大标宋简体"/>
                <w:color w:val="FFFFFF" w:themeColor="background1"/>
                <w:w w:val="70"/>
                <w:sz w:val="80"/>
                <w:szCs w:val="80"/>
                <w:shd w:val="clear" w:color="auto" w:fill="auto"/>
                <w:lang w:val="en-US" w:eastAsia="zh-CN"/>
                <w14:textFill>
                  <w14:solidFill>
                    <w14:schemeClr w14:val="bg1"/>
                  </w14:solidFill>
                </w14:textFill>
              </w:rPr>
              <w:t>湖南省自然资源厅</w:t>
            </w:r>
          </w:p>
          <w:p w14:paraId="4F17F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840" w:lineRule="exact"/>
              <w:ind w:left="0" w:leftChars="0" w:right="0" w:rightChars="0" w:firstLine="0" w:firstLineChars="0"/>
              <w:jc w:val="distribute"/>
              <w:textAlignment w:val="auto"/>
              <w:outlineLvl w:val="9"/>
              <w:rPr>
                <w:rFonts w:hint="default"/>
                <w:color w:val="FFFFFF" w:themeColor="background1"/>
                <w:shd w:val="clear" w:color="auto" w:fill="auto"/>
                <w14:textFill>
                  <w14:solidFill>
                    <w14:schemeClr w14:val="bg1"/>
                  </w14:solidFill>
                </w14:textFill>
              </w:rPr>
            </w:pPr>
            <w:r>
              <w:rPr>
                <w:rFonts w:hint="eastAsia" w:eastAsia="方正大标宋简体" w:cs="方正大标宋简体"/>
                <w:color w:val="FFFFFF" w:themeColor="background1"/>
                <w:w w:val="70"/>
                <w:sz w:val="80"/>
                <w:szCs w:val="80"/>
                <w:shd w:val="clear" w:color="auto" w:fill="auto"/>
                <w:lang w:eastAsia="zh-CN"/>
                <w14:textFill>
                  <w14:solidFill>
                    <w14:schemeClr w14:val="bg1"/>
                  </w14:solidFill>
                </w14:textFill>
              </w:rPr>
              <w:t>湖南省住房和城乡建设厅</w:t>
            </w:r>
          </w:p>
        </w:tc>
        <w:tc>
          <w:tcPr>
            <w:tcW w:w="1873" w:type="dxa"/>
            <w:gridSpan w:val="2"/>
            <w:tcBorders>
              <w:tl2br w:val="nil"/>
              <w:tr2bl w:val="nil"/>
            </w:tcBorders>
            <w:tcMar>
              <w:left w:w="0" w:type="dxa"/>
              <w:right w:w="0" w:type="dxa"/>
            </w:tcMar>
            <w:vAlign w:val="center"/>
          </w:tcPr>
          <w:p w14:paraId="1BDC51B1">
            <w:pPr>
              <w:keepNext w:val="0"/>
              <w:keepLines w:val="0"/>
              <w:suppressLineNumbers w:val="0"/>
              <w:spacing w:before="0" w:beforeAutospacing="0" w:after="0" w:afterAutospacing="0"/>
              <w:ind w:left="0" w:right="0"/>
              <w:jc w:val="center"/>
              <w:rPr>
                <w:rFonts w:hint="default" w:eastAsia="方正大标宋简体"/>
                <w:color w:val="FFFFFF" w:themeColor="background1"/>
                <w:sz w:val="90"/>
                <w:szCs w:val="90"/>
                <w:shd w:val="clear" w:color="auto" w:fill="auto"/>
                <w14:textFill>
                  <w14:solidFill>
                    <w14:schemeClr w14:val="bg1"/>
                  </w14:solidFill>
                </w14:textFill>
              </w:rPr>
            </w:pPr>
            <w:r>
              <w:rPr>
                <w:rFonts w:hint="eastAsia" w:eastAsia="方正大标宋简体" w:cs="方正大标宋简体"/>
                <w:color w:val="FFFFFF" w:themeColor="background1"/>
                <w:spacing w:val="95"/>
                <w:kern w:val="0"/>
                <w:sz w:val="84"/>
                <w:szCs w:val="84"/>
                <w:shd w:val="clear" w:color="auto" w:fill="auto"/>
                <w:fitText w:val="1871" w:id="2134128320"/>
                <w14:textFill>
                  <w14:solidFill>
                    <w14:schemeClr w14:val="bg1"/>
                  </w14:solidFill>
                </w14:textFill>
              </w:rPr>
              <w:t>文</w:t>
            </w:r>
            <w:r>
              <w:rPr>
                <w:rFonts w:hint="eastAsia" w:eastAsia="方正大标宋简体" w:cs="方正大标宋简体"/>
                <w:color w:val="FFFFFF" w:themeColor="background1"/>
                <w:spacing w:val="0"/>
                <w:kern w:val="0"/>
                <w:sz w:val="84"/>
                <w:szCs w:val="84"/>
                <w:shd w:val="clear" w:color="auto" w:fill="auto"/>
                <w:fitText w:val="1871" w:id="2134128320"/>
                <w14:textFill>
                  <w14:solidFill>
                    <w14:schemeClr w14:val="bg1"/>
                  </w14:solidFill>
                </w14:textFill>
              </w:rPr>
              <w:t>件</w:t>
            </w:r>
          </w:p>
        </w:tc>
      </w:tr>
      <w:tr w14:paraId="536FD954">
        <w:tblPrEx>
          <w:tblBorders>
            <w:top w:val="none" w:color="auto" w:sz="0" w:space="0"/>
            <w:left w:val="none" w:color="auto" w:sz="0" w:space="0"/>
            <w:bottom w:val="single" w:color="FFFFFF" w:themeColor="background1" w:sz="6"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 w:type="dxa"/>
          <w:trHeight w:val="1454" w:hRule="atLeast"/>
          <w:jc w:val="center"/>
        </w:trPr>
        <w:tc>
          <w:tcPr>
            <w:tcW w:w="9060" w:type="dxa"/>
            <w:gridSpan w:val="3"/>
            <w:tcBorders>
              <w:tl2br w:val="nil"/>
              <w:tr2bl w:val="nil"/>
            </w:tcBorders>
            <w:vAlign w:val="bottom"/>
          </w:tcPr>
          <w:p w14:paraId="7C2E63F7">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湘民发〔</w:t>
            </w:r>
            <w:r>
              <w:rPr>
                <w:rFonts w:hint="eastAsia" w:asciiTheme="majorEastAsia" w:hAnsiTheme="majorEastAsia" w:eastAsiaTheme="majorEastAsia" w:cstheme="majorEastAsia"/>
                <w:sz w:val="32"/>
                <w:szCs w:val="40"/>
              </w:rPr>
              <w:t>202</w:t>
            </w:r>
            <w:r>
              <w:rPr>
                <w:rFonts w:hint="eastAsia" w:asciiTheme="majorEastAsia" w:hAnsiTheme="majorEastAsia" w:eastAsiaTheme="majorEastAsia" w:cstheme="majorEastAsia"/>
                <w:sz w:val="32"/>
                <w:szCs w:val="40"/>
                <w:lang w:val="en-US" w:eastAsia="zh-CN"/>
              </w:rPr>
              <w:t>5</w:t>
            </w:r>
            <w:r>
              <w:rPr>
                <w:rFonts w:hint="eastAsia" w:ascii="仿宋_GB2312" w:hAnsi="仿宋_GB2312" w:eastAsia="仿宋_GB2312" w:cs="仿宋_GB2312"/>
                <w:sz w:val="32"/>
                <w:szCs w:val="40"/>
              </w:rPr>
              <w:t>〕</w:t>
            </w:r>
            <w:r>
              <w:rPr>
                <w:rFonts w:hint="eastAsia" w:asciiTheme="majorEastAsia" w:hAnsiTheme="majorEastAsia" w:eastAsiaTheme="majorEastAsia" w:cstheme="majorEastAsia"/>
                <w:sz w:val="32"/>
                <w:szCs w:val="40"/>
                <w:lang w:val="en-US" w:eastAsia="zh-CN"/>
              </w:rPr>
              <w:t>39</w:t>
            </w:r>
            <w:r>
              <w:rPr>
                <w:rFonts w:hint="eastAsia" w:ascii="仿宋_GB2312" w:hAnsi="仿宋_GB2312" w:eastAsia="仿宋_GB2312" w:cs="仿宋_GB2312"/>
                <w:sz w:val="32"/>
                <w:szCs w:val="40"/>
              </w:rPr>
              <w:t>号</w:t>
            </w:r>
          </w:p>
          <w:p w14:paraId="28613FE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eastAsia="宋体"/>
                <w:lang w:val="en-US" w:eastAsia="zh-CN"/>
              </w:rPr>
            </w:pPr>
            <w:r>
              <w:rPr>
                <w:rFonts w:hint="eastAsia"/>
                <w:lang w:val="en-US" w:eastAsia="zh-CN"/>
              </w:rPr>
              <w:t xml:space="preserve"> </w:t>
            </w:r>
          </w:p>
        </w:tc>
      </w:tr>
    </w:tbl>
    <w:p w14:paraId="2D2A826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eastAsia="华文中宋"/>
          <w:b/>
          <w:bCs/>
          <w:w w:val="90"/>
          <w:sz w:val="44"/>
          <w:szCs w:val="44"/>
        </w:rPr>
      </w:pPr>
    </w:p>
    <w:p w14:paraId="55EF98F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rPr>
      </w:pPr>
    </w:p>
    <w:p w14:paraId="41D12D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9"/>
        <w:rPr>
          <w:rFonts w:hint="eastAsia" w:ascii="方正小标宋简体" w:hAnsi="方正小标宋简体" w:eastAsia="方正小标宋简体" w:cs="方正小标宋简体"/>
          <w:spacing w:val="0"/>
          <w:kern w:val="2"/>
          <w:sz w:val="44"/>
          <w:szCs w:val="44"/>
          <w:lang w:val="en-US" w:eastAsia="zh-CN" w:bidi="ar"/>
        </w:rPr>
      </w:pPr>
      <w:r>
        <w:rPr>
          <w:rFonts w:hint="eastAsia" w:ascii="方正小标宋简体" w:hAnsi="方正小标宋简体" w:eastAsia="方正小标宋简体" w:cs="方正小标宋简体"/>
          <w:spacing w:val="0"/>
          <w:kern w:val="2"/>
          <w:sz w:val="44"/>
          <w:szCs w:val="44"/>
          <w:lang w:val="en-US" w:eastAsia="zh-CN" w:bidi="ar"/>
        </w:rPr>
        <w:t>关于印发《湖南省社区养老服务设施配建</w:t>
      </w:r>
    </w:p>
    <w:p w14:paraId="5EF4C5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9"/>
        <w:rPr>
          <w:rFonts w:hint="eastAsia" w:ascii="方正小标宋简体" w:hAnsi="方正小标宋简体" w:eastAsia="方正小标宋简体" w:cs="方正小标宋简体"/>
          <w:spacing w:val="0"/>
          <w:sz w:val="44"/>
          <w:szCs w:val="44"/>
          <w:lang w:val="en-US"/>
        </w:rPr>
      </w:pPr>
      <w:r>
        <w:rPr>
          <w:rFonts w:hint="eastAsia" w:ascii="方正小标宋简体" w:hAnsi="方正小标宋简体" w:eastAsia="方正小标宋简体" w:cs="方正小标宋简体"/>
          <w:spacing w:val="0"/>
          <w:kern w:val="2"/>
          <w:sz w:val="44"/>
          <w:szCs w:val="44"/>
          <w:lang w:val="en-US" w:eastAsia="zh-CN" w:bidi="ar"/>
        </w:rPr>
        <w:t>移交运营管理指导意见》的通知</w:t>
      </w:r>
    </w:p>
    <w:p w14:paraId="4E5CD5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leftChars="0" w:right="0" w:rightChars="0"/>
        <w:jc w:val="both"/>
        <w:textAlignment w:val="auto"/>
        <w:outlineLvl w:val="9"/>
        <w:rPr>
          <w:rFonts w:hint="default" w:ascii="Times New Roman" w:hAnsi="Times New Roman" w:eastAsia="方正小标宋简体" w:cs="Times New Roman"/>
          <w:spacing w:val="-17"/>
          <w:sz w:val="44"/>
          <w:szCs w:val="44"/>
          <w:lang w:val="en-US"/>
        </w:rPr>
      </w:pPr>
    </w:p>
    <w:p w14:paraId="7E8AFF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leftChars="0" w:right="0" w:rightChars="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各市州、县市区民政局、自然资源</w:t>
      </w:r>
      <w:r>
        <w:rPr>
          <w:rFonts w:hint="eastAsia" w:ascii="Times New Roman" w:hAnsi="Times New Roman" w:eastAsia="仿宋_GB2312" w:cs="Times New Roman"/>
          <w:kern w:val="2"/>
          <w:sz w:val="32"/>
          <w:szCs w:val="32"/>
          <w:lang w:val="en-US" w:eastAsia="zh-CN" w:bidi="ar"/>
        </w:rPr>
        <w:t>主管部门</w:t>
      </w:r>
      <w:r>
        <w:rPr>
          <w:rFonts w:hint="default" w:ascii="Times New Roman" w:hAnsi="Times New Roman" w:eastAsia="仿宋_GB2312" w:cs="Times New Roman"/>
          <w:kern w:val="2"/>
          <w:sz w:val="32"/>
          <w:szCs w:val="32"/>
          <w:lang w:val="en-US" w:eastAsia="zh-CN" w:bidi="ar"/>
        </w:rPr>
        <w:t>、住房和城乡建设局：</w:t>
      </w:r>
    </w:p>
    <w:p w14:paraId="6E90C90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为进一步加强和规范社区养老服务设施的规划、建设、移交与管理工作，现将《湖南省社区养老服务设施配建移交运营管理指导意见》印发给你们，请认真贯彻执行。</w:t>
      </w:r>
    </w:p>
    <w:p w14:paraId="2DB1768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leftChars="0" w:right="0" w:rightChars="0" w:firstLine="640" w:firstLineChars="200"/>
        <w:jc w:val="left"/>
        <w:textAlignment w:val="auto"/>
        <w:rPr>
          <w:rFonts w:hint="default" w:ascii="Times New Roman" w:hAnsi="Times New Roman" w:eastAsia="仿宋_GB2312" w:cs="Times New Roman"/>
          <w:sz w:val="32"/>
          <w:szCs w:val="32"/>
          <w:lang w:val="en-US"/>
        </w:rPr>
      </w:pPr>
    </w:p>
    <w:p w14:paraId="3F25058B">
      <w:pPr>
        <w:keepNext w:val="0"/>
        <w:keepLines w:val="0"/>
        <w:widowControl w:val="0"/>
        <w:suppressLineNumbers w:val="0"/>
        <w:spacing w:before="0" w:beforeAutospacing="0" w:after="0" w:afterAutospacing="0" w:line="580" w:lineRule="exact"/>
        <w:ind w:left="0" w:right="0" w:firstLine="640" w:firstLineChars="200"/>
        <w:jc w:val="left"/>
        <w:rPr>
          <w:rFonts w:hint="default" w:ascii="Times New Roman" w:hAnsi="Times New Roman" w:eastAsia="仿宋_GB2312" w:cs="Times New Roman"/>
          <w:sz w:val="32"/>
          <w:szCs w:val="32"/>
          <w:lang w:val="en-US"/>
        </w:rPr>
      </w:pPr>
    </w:p>
    <w:tbl>
      <w:tblPr>
        <w:tblStyle w:val="8"/>
        <w:tblW w:w="9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0"/>
        <w:gridCol w:w="4531"/>
      </w:tblGrid>
      <w:tr w14:paraId="30D6F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4" w:hRule="atLeast"/>
          <w:jc w:val="center"/>
        </w:trPr>
        <w:tc>
          <w:tcPr>
            <w:tcW w:w="4530" w:type="dxa"/>
          </w:tcPr>
          <w:p w14:paraId="584E2A62">
            <w:pPr>
              <w:keepNext w:val="0"/>
              <w:keepLines w:val="0"/>
              <w:widowControl w:val="0"/>
              <w:suppressLineNumbers w:val="0"/>
              <w:tabs>
                <w:tab w:val="left" w:pos="1761"/>
              </w:tabs>
              <w:spacing w:before="0" w:beforeAutospacing="0" w:after="0" w:afterAutospacing="0"/>
              <w:ind w:left="0" w:right="0"/>
              <w:jc w:val="center"/>
              <w:rPr>
                <w:rFonts w:hint="default" w:ascii="Times New Roman" w:hAnsi="Times New Roman" w:eastAsia="仿宋_GB2312" w:cs="Times New Roman"/>
                <w:kern w:val="2"/>
                <w:sz w:val="32"/>
                <w:szCs w:val="32"/>
                <w:vertAlign w:val="baseline"/>
                <w:lang w:val="en-US" w:eastAsia="zh-CN" w:bidi="ar"/>
              </w:rPr>
            </w:pPr>
            <w:r>
              <w:rPr>
                <w:rFonts w:hint="default" w:ascii="Times New Roman" w:hAnsi="Times New Roman" w:eastAsia="仿宋_GB2312" w:cs="Times New Roman"/>
                <w:kern w:val="2"/>
                <w:sz w:val="32"/>
                <w:szCs w:val="32"/>
                <w:lang w:val="en-US" w:eastAsia="zh-CN" w:bidi="ar"/>
              </w:rPr>
              <w:t>湖南省民政厅</w:t>
            </w:r>
          </w:p>
        </w:tc>
        <w:tc>
          <w:tcPr>
            <w:tcW w:w="4531" w:type="dxa"/>
          </w:tcPr>
          <w:p w14:paraId="679EE0CF">
            <w:pPr>
              <w:keepNext w:val="0"/>
              <w:keepLines w:val="0"/>
              <w:widowControl w:val="0"/>
              <w:suppressLineNumbers w:val="0"/>
              <w:tabs>
                <w:tab w:val="left" w:pos="1761"/>
              </w:tabs>
              <w:spacing w:before="0" w:beforeAutospacing="0" w:after="0" w:afterAutospacing="0"/>
              <w:ind w:left="0" w:right="0"/>
              <w:jc w:val="center"/>
              <w:rPr>
                <w:rFonts w:hint="default" w:ascii="Times New Roman" w:hAnsi="Times New Roman" w:eastAsia="仿宋_GB2312" w:cs="Times New Roman"/>
                <w:kern w:val="2"/>
                <w:sz w:val="32"/>
                <w:szCs w:val="32"/>
                <w:vertAlign w:val="baseline"/>
                <w:lang w:val="en-US" w:eastAsia="zh-CN" w:bidi="ar"/>
              </w:rPr>
            </w:pPr>
            <w:r>
              <w:rPr>
                <w:rFonts w:hint="default" w:ascii="Times New Roman" w:hAnsi="Times New Roman" w:eastAsia="仿宋_GB2312" w:cs="Times New Roman"/>
                <w:kern w:val="2"/>
                <w:sz w:val="32"/>
                <w:szCs w:val="32"/>
                <w:lang w:val="en-US" w:eastAsia="zh-CN" w:bidi="ar"/>
              </w:rPr>
              <w:t>湖南省自然资源厅</w:t>
            </w:r>
          </w:p>
        </w:tc>
      </w:tr>
      <w:tr w14:paraId="0272D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61" w:type="dxa"/>
            <w:gridSpan w:val="2"/>
            <w:vAlign w:val="bottom"/>
          </w:tcPr>
          <w:p w14:paraId="5A25419E">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湖南省住房和城乡建设厅</w:t>
            </w:r>
          </w:p>
          <w:p w14:paraId="1C8D5C5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32"/>
                <w:szCs w:val="32"/>
                <w:vertAlign w:val="baseline"/>
                <w:lang w:val="en-US" w:eastAsia="zh-CN" w:bidi="ar"/>
              </w:rPr>
            </w:pPr>
            <w:r>
              <w:rPr>
                <w:rFonts w:hint="default" w:ascii="Times New Roman" w:hAnsi="Times New Roman" w:eastAsia="仿宋_GB2312" w:cs="Times New Roman"/>
                <w:kern w:val="2"/>
                <w:sz w:val="32"/>
                <w:szCs w:val="32"/>
                <w:lang w:val="en-US" w:eastAsia="zh-CN" w:bidi="ar"/>
              </w:rPr>
              <w:t>2025年1</w:t>
            </w:r>
            <w:r>
              <w:rPr>
                <w:rFonts w:hint="eastAsia" w:ascii="Times New Roman" w:hAnsi="Times New Roman" w:eastAsia="仿宋_GB2312" w:cs="Times New Roman"/>
                <w:kern w:val="2"/>
                <w:sz w:val="32"/>
                <w:szCs w:val="32"/>
                <w:lang w:val="en-US" w:eastAsia="zh-CN" w:bidi="ar"/>
              </w:rPr>
              <w:t>2</w:t>
            </w:r>
            <w:r>
              <w:rPr>
                <w:rFonts w:hint="default" w:ascii="Times New Roman" w:hAnsi="Times New Roman" w:eastAsia="仿宋_GB2312" w:cs="Times New Roman"/>
                <w:kern w:val="2"/>
                <w:sz w:val="32"/>
                <w:szCs w:val="32"/>
                <w:lang w:val="en-US" w:eastAsia="zh-CN" w:bidi="ar"/>
              </w:rPr>
              <w:t>月</w:t>
            </w:r>
            <w:r>
              <w:rPr>
                <w:rFonts w:hint="eastAsia" w:ascii="Times New Roman" w:hAnsi="Times New Roman" w:eastAsia="仿宋_GB2312" w:cs="Times New Roman"/>
                <w:kern w:val="2"/>
                <w:sz w:val="32"/>
                <w:szCs w:val="32"/>
                <w:lang w:val="en-US" w:eastAsia="zh-CN" w:bidi="ar"/>
              </w:rPr>
              <w:t>10</w:t>
            </w:r>
            <w:r>
              <w:rPr>
                <w:rFonts w:hint="default" w:ascii="Times New Roman" w:hAnsi="Times New Roman" w:eastAsia="仿宋_GB2312" w:cs="Times New Roman"/>
                <w:kern w:val="2"/>
                <w:sz w:val="32"/>
                <w:szCs w:val="32"/>
                <w:lang w:val="en-US" w:eastAsia="zh-CN" w:bidi="ar"/>
              </w:rPr>
              <w:t>日</w:t>
            </w:r>
          </w:p>
        </w:tc>
      </w:tr>
    </w:tbl>
    <w:p w14:paraId="2FF5B290">
      <w:pPr>
        <w:keepNext w:val="0"/>
        <w:keepLines w:val="0"/>
        <w:widowControl w:val="0"/>
        <w:suppressLineNumbers w:val="0"/>
        <w:spacing w:before="0" w:beforeAutospacing="0" w:after="0" w:afterAutospacing="0" w:line="580" w:lineRule="exact"/>
        <w:ind w:left="0" w:right="0"/>
        <w:jc w:val="center"/>
        <w:rPr>
          <w:rFonts w:hint="default" w:ascii="Times New Roman" w:hAnsi="Times New Roman" w:eastAsia="方正小标宋简体" w:cs="Times New Roman"/>
          <w:spacing w:val="-17"/>
          <w:kern w:val="2"/>
          <w:sz w:val="44"/>
          <w:szCs w:val="44"/>
          <w:lang w:val="en-US" w:eastAsia="zh-CN" w:bidi="ar"/>
        </w:rPr>
      </w:pPr>
      <w:r>
        <w:rPr>
          <w:rFonts w:hint="default" w:ascii="Times New Roman" w:hAnsi="Times New Roman" w:eastAsia="方正小标宋简体" w:cs="Times New Roman"/>
          <w:spacing w:val="-17"/>
          <w:kern w:val="2"/>
          <w:sz w:val="44"/>
          <w:szCs w:val="44"/>
          <w:lang w:val="en-US" w:eastAsia="zh-CN" w:bidi="ar"/>
        </w:rPr>
        <w:br w:type="page"/>
      </w:r>
    </w:p>
    <w:p w14:paraId="5D86C42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rFonts w:hint="default" w:ascii="Times New Roman" w:hAnsi="Times New Roman" w:eastAsia="方正小标宋简体" w:cs="Times New Roman"/>
          <w:spacing w:val="0"/>
          <w:sz w:val="44"/>
          <w:szCs w:val="44"/>
          <w:lang w:val="en-US"/>
        </w:rPr>
      </w:pPr>
      <w:r>
        <w:rPr>
          <w:rFonts w:hint="default" w:ascii="Times New Roman" w:hAnsi="Times New Roman" w:eastAsia="方正小标宋简体" w:cs="Times New Roman"/>
          <w:spacing w:val="0"/>
          <w:kern w:val="2"/>
          <w:sz w:val="44"/>
          <w:szCs w:val="44"/>
          <w:lang w:val="en-US" w:eastAsia="zh-CN" w:bidi="ar"/>
        </w:rPr>
        <w:t>湖南省社区养老服务设施配建移交运营管理</w:t>
      </w:r>
    </w:p>
    <w:p w14:paraId="7EA567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rFonts w:hint="default" w:ascii="Times New Roman" w:hAnsi="Times New Roman" w:eastAsia="仿宋" w:cs="Times New Roman"/>
          <w:color w:val="000000"/>
          <w:spacing w:val="6"/>
          <w:sz w:val="28"/>
          <w:szCs w:val="28"/>
          <w:lang w:val="en-US"/>
        </w:rPr>
      </w:pPr>
      <w:r>
        <w:rPr>
          <w:rFonts w:hint="default" w:ascii="Times New Roman" w:hAnsi="Times New Roman" w:eastAsia="方正小标宋简体" w:cs="Times New Roman"/>
          <w:spacing w:val="-17"/>
          <w:kern w:val="2"/>
          <w:sz w:val="44"/>
          <w:szCs w:val="44"/>
          <w:lang w:val="en-US" w:eastAsia="zh-CN" w:bidi="ar"/>
        </w:rPr>
        <w:t>指导意见</w:t>
      </w:r>
    </w:p>
    <w:p w14:paraId="584A85E6">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jc w:val="both"/>
        <w:textAlignment w:val="auto"/>
        <w:rPr>
          <w:rFonts w:hint="default" w:ascii="Times New Roman" w:hAnsi="Times New Roman" w:eastAsia="仿宋" w:cs="Times New Roman"/>
          <w:sz w:val="32"/>
          <w:szCs w:val="32"/>
          <w:lang w:val="en-US"/>
        </w:rPr>
      </w:pPr>
    </w:p>
    <w:p w14:paraId="21D9C18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为了满足社区老年人的养老服务需求，规范社区养老服务设施配建移交运营管理工作，促进社区养老服务高质量发展，根据《中共中央 国务院关于深化养老服务改革发展的意见》和《湖南省社区养老服务设施配建若干规定》等文件精神，结合我省实际，提出如下意见：</w:t>
      </w:r>
    </w:p>
    <w:p w14:paraId="1B0126CD">
      <w:pPr>
        <w:keepNext w:val="0"/>
        <w:keepLines w:val="0"/>
        <w:pageBreakBefore w:val="0"/>
        <w:widowControl w:val="0"/>
        <w:suppressLineNumbers w:val="0"/>
        <w:tabs>
          <w:tab w:val="left" w:pos="0"/>
        </w:tabs>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一、落实设施配建规划</w:t>
      </w:r>
    </w:p>
    <w:p w14:paraId="53832B4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楷体_GB2312" w:cs="Times New Roman"/>
          <w:b/>
          <w:color w:val="000000"/>
          <w:kern w:val="2"/>
          <w:sz w:val="32"/>
          <w:szCs w:val="32"/>
          <w:lang w:val="en-US" w:eastAsia="zh-CN" w:bidi="ar"/>
        </w:rPr>
        <w:t>（一）科学规划设施布局。</w:t>
      </w:r>
      <w:r>
        <w:rPr>
          <w:rFonts w:hint="default" w:ascii="Times New Roman" w:hAnsi="Times New Roman" w:eastAsia="仿宋_GB2312" w:cs="Times New Roman"/>
          <w:kern w:val="2"/>
          <w:sz w:val="32"/>
          <w:szCs w:val="32"/>
          <w:lang w:val="en-US" w:eastAsia="zh-CN" w:bidi="ar"/>
        </w:rPr>
        <w:t>按程序将民政部门纳入同级国土空间规划委员会成员单位。会同自然资源、住房城乡建设等部门，根据老年人口分布、养老服务需求以及老龄化趋势等情况，科学编制社区养老服务设施专项规划。自然资源部门在组织编制详细规划时，要严格落实国土空间总体规划，加强与养老服务设施专项规划的衔接。</w:t>
      </w:r>
    </w:p>
    <w:p w14:paraId="7E3275B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楷体_GB2312" w:cs="Times New Roman"/>
          <w:b/>
          <w:color w:val="000000"/>
          <w:kern w:val="2"/>
          <w:sz w:val="32"/>
          <w:szCs w:val="32"/>
          <w:lang w:val="en-US" w:eastAsia="zh-CN" w:bidi="ar"/>
        </w:rPr>
        <w:t>（二）明确配建供地要求。</w:t>
      </w:r>
      <w:bookmarkStart w:id="0" w:name="No26_Z2T6K1X2"/>
      <w:bookmarkEnd w:id="0"/>
      <w:r>
        <w:rPr>
          <w:rFonts w:hint="default" w:ascii="Times New Roman" w:hAnsi="Times New Roman" w:eastAsia="仿宋_GB2312" w:cs="Times New Roman"/>
          <w:kern w:val="2"/>
          <w:sz w:val="32"/>
          <w:szCs w:val="32"/>
          <w:lang w:val="en-US" w:eastAsia="zh-CN" w:bidi="ar"/>
        </w:rPr>
        <w:t>房地产开发项目土地使用权出让或者划拨前，设区的市、县（市）自然资源部门应当通知同级民政部门，就社区养老服务设施的配建规模、建设标准等提出建设条件意见，由自然资源部门纳入土地出让方案或划拨条件，作为土地使用权出让或划拨的依据，并在《国有建设用地使用权出让合同》或《划拨决定书》中明确约定配建规模、标准要求、移交方式、接收主体、产权归属等内容。</w:t>
      </w:r>
    </w:p>
    <w:p w14:paraId="55EEC26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3"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楷体_GB2312" w:cs="Times New Roman"/>
          <w:b/>
          <w:color w:val="000000"/>
          <w:kern w:val="2"/>
          <w:sz w:val="32"/>
          <w:szCs w:val="32"/>
          <w:lang w:val="zh-CN" w:eastAsia="zh-CN" w:bidi="ar"/>
        </w:rPr>
        <w:t>（</w:t>
      </w:r>
      <w:r>
        <w:rPr>
          <w:rFonts w:hint="default" w:ascii="Times New Roman" w:hAnsi="Times New Roman" w:eastAsia="楷体_GB2312" w:cs="Times New Roman"/>
          <w:b/>
          <w:color w:val="000000"/>
          <w:kern w:val="2"/>
          <w:sz w:val="32"/>
          <w:szCs w:val="32"/>
          <w:lang w:val="en-US" w:eastAsia="zh-CN" w:bidi="ar"/>
        </w:rPr>
        <w:t>三</w:t>
      </w:r>
      <w:r>
        <w:rPr>
          <w:rFonts w:hint="default" w:ascii="Times New Roman" w:hAnsi="Times New Roman" w:eastAsia="楷体_GB2312" w:cs="Times New Roman"/>
          <w:b/>
          <w:color w:val="000000"/>
          <w:kern w:val="2"/>
          <w:sz w:val="32"/>
          <w:szCs w:val="32"/>
          <w:lang w:val="zh-CN" w:eastAsia="zh-CN" w:bidi="ar"/>
        </w:rPr>
        <w:t>）</w:t>
      </w:r>
      <w:r>
        <w:rPr>
          <w:rFonts w:hint="default" w:ascii="Times New Roman" w:hAnsi="Times New Roman" w:eastAsia="楷体_GB2312" w:cs="Times New Roman"/>
          <w:b/>
          <w:color w:val="000000"/>
          <w:kern w:val="2"/>
          <w:sz w:val="32"/>
          <w:szCs w:val="32"/>
          <w:lang w:val="en-US" w:eastAsia="zh-CN" w:bidi="ar"/>
        </w:rPr>
        <w:t>落实规划设计标准。</w:t>
      </w:r>
      <w:r>
        <w:rPr>
          <w:rFonts w:hint="default" w:ascii="Times New Roman" w:hAnsi="Times New Roman" w:eastAsia="仿宋_GB2312" w:cs="Times New Roman"/>
          <w:kern w:val="2"/>
          <w:sz w:val="32"/>
          <w:szCs w:val="32"/>
          <w:lang w:val="en-US" w:eastAsia="zh-CN" w:bidi="ar"/>
        </w:rPr>
        <w:t>开发建设单位编制新建城镇居住区修建性详细规划、建设工程设计方案时，应当同步落实规划条件中配建社区养老服务设施要求。社区养老服务设施应当优先设置于建筑首层，安排在建筑二层（含）以上应设置无障碍电梯或无障碍坡道，符合适老化无障碍要求，不得安排在建筑的地下层、半地下层。配建社区养老服务设施应当按照《老年人照料设施建筑设计标准》</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JGJ450</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、《建筑防火通用规范》（GB55037）、《社区老年人日间照料中心建设标准》</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建标143</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、《无障碍设计规范》</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GB50763</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等标准规范设计。</w:t>
      </w:r>
    </w:p>
    <w:p w14:paraId="4C51156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楷体_GB2312" w:cs="Times New Roman"/>
          <w:b/>
          <w:color w:val="000000"/>
          <w:kern w:val="2"/>
          <w:sz w:val="32"/>
          <w:szCs w:val="32"/>
          <w:lang w:val="en-US" w:eastAsia="zh-CN" w:bidi="ar"/>
        </w:rPr>
        <w:t>（四）开展配建方案审查。</w:t>
      </w:r>
      <w:r>
        <w:rPr>
          <w:rFonts w:hint="default" w:ascii="Times New Roman" w:hAnsi="Times New Roman" w:eastAsia="仿宋_GB2312" w:cs="Times New Roman"/>
          <w:kern w:val="2"/>
          <w:sz w:val="32"/>
          <w:szCs w:val="32"/>
          <w:lang w:val="en-US" w:eastAsia="zh-CN" w:bidi="ar"/>
        </w:rPr>
        <w:t>新建住宅区申请办理建设工程规划许可证时，自然资源部门应会同民政部门对建设工程规划设计方案中社区养老服务设施的配建内容进行联合审查。不符合规划条件的，不得核发建设工程规划许可证。确需调整配建社区养老服务设施规划设计方案的，调整前须经自然资源、民政部门联合审查同意。调整后的社区养老服务设施规划设计方案应符合规划条件和国家建设标准规范，建设单位不得擅自变更。</w:t>
      </w:r>
    </w:p>
    <w:p w14:paraId="5DD43F5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二、严格建设验收标准</w:t>
      </w:r>
    </w:p>
    <w:p w14:paraId="17202DC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lang w:val="en-US"/>
        </w:rPr>
      </w:pPr>
      <w:r>
        <w:rPr>
          <w:rFonts w:hint="default" w:ascii="Times New Roman" w:hAnsi="Times New Roman" w:eastAsia="楷体_GB2312" w:cs="Times New Roman"/>
          <w:b/>
          <w:color w:val="000000"/>
          <w:kern w:val="2"/>
          <w:sz w:val="32"/>
          <w:szCs w:val="32"/>
          <w:lang w:val="en-US" w:eastAsia="zh-CN" w:bidi="ar"/>
        </w:rPr>
        <w:t>（一）明确建设交付标准。</w:t>
      </w:r>
      <w:r>
        <w:rPr>
          <w:rFonts w:hint="default" w:ascii="Times New Roman" w:hAnsi="Times New Roman" w:eastAsia="仿宋_GB2312" w:cs="Times New Roman"/>
          <w:color w:val="000000"/>
          <w:kern w:val="2"/>
          <w:sz w:val="32"/>
          <w:szCs w:val="32"/>
          <w:lang w:val="en-US" w:eastAsia="zh-CN" w:bidi="ar"/>
        </w:rPr>
        <w:t>建设单位应严格按照审查合格的施工图设计和组织施工并通过消防验收合格，确保养老服务用房达到基础装修、入住即可使用的标准，墙体四白落地，水泥地面平整，门窗、厕所、水电气等设施齐全，符合相关规范要求。社区养老服务设施内用水、用电、用气等设备应独立计量。</w:t>
      </w:r>
    </w:p>
    <w:p w14:paraId="735F73D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3" w:firstLineChars="200"/>
        <w:jc w:val="both"/>
        <w:textAlignment w:val="auto"/>
        <w:outlineLvl w:val="9"/>
        <w:rPr>
          <w:rFonts w:hint="default" w:ascii="Times New Roman" w:hAnsi="Times New Roman" w:eastAsia="仿宋_GB2312" w:cs="Times New Roman"/>
          <w:b/>
          <w:color w:val="000000"/>
          <w:sz w:val="32"/>
          <w:szCs w:val="32"/>
          <w:lang w:val="en-US"/>
        </w:rPr>
      </w:pPr>
      <w:r>
        <w:rPr>
          <w:rFonts w:hint="default" w:ascii="Times New Roman" w:hAnsi="Times New Roman" w:eastAsia="楷体_GB2312" w:cs="Times New Roman"/>
          <w:b/>
          <w:color w:val="000000"/>
          <w:kern w:val="2"/>
          <w:sz w:val="32"/>
          <w:szCs w:val="32"/>
          <w:lang w:val="en-US" w:eastAsia="zh-CN" w:bidi="ar"/>
        </w:rPr>
        <w:t>（二）加强施工质量监管。</w:t>
      </w:r>
      <w:r>
        <w:rPr>
          <w:rFonts w:hint="default" w:ascii="Times New Roman" w:hAnsi="Times New Roman" w:eastAsia="仿宋_GB2312" w:cs="Times New Roman"/>
          <w:kern w:val="2"/>
          <w:sz w:val="32"/>
          <w:szCs w:val="32"/>
          <w:lang w:val="en-US" w:eastAsia="zh-CN" w:bidi="ar"/>
        </w:rPr>
        <w:t>建设单位须严格按照规划条件和国家现行标准规范进行设计、施工。住房城乡建设部门依法办理社区养老服务设施建筑工程施工许可手续，加强施工图审查监督和工程建设过程的质量安全监管。</w:t>
      </w:r>
    </w:p>
    <w:p w14:paraId="2948AE9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lang w:val="en-US"/>
        </w:rPr>
      </w:pPr>
      <w:r>
        <w:rPr>
          <w:rFonts w:hint="default" w:ascii="Times New Roman" w:hAnsi="Times New Roman" w:eastAsia="楷体_GB2312" w:cs="Times New Roman"/>
          <w:b/>
          <w:color w:val="000000"/>
          <w:kern w:val="2"/>
          <w:sz w:val="32"/>
          <w:szCs w:val="32"/>
          <w:lang w:val="en-US" w:eastAsia="zh-CN" w:bidi="ar"/>
        </w:rPr>
        <w:t>（三）明确独立测绘确权。</w:t>
      </w:r>
      <w:r>
        <w:rPr>
          <w:rFonts w:hint="default" w:ascii="Times New Roman" w:hAnsi="Times New Roman" w:eastAsia="仿宋_GB2312" w:cs="Times New Roman"/>
          <w:color w:val="000000"/>
          <w:kern w:val="2"/>
          <w:sz w:val="32"/>
          <w:szCs w:val="32"/>
          <w:lang w:val="en-US" w:eastAsia="zh-CN" w:bidi="ar"/>
        </w:rPr>
        <w:t>房地产测绘机构对社区养老服务设施用房进行独立测绘，其建筑面积不计入分摊的共用面积，并在出具的报告中予以信息标注。</w:t>
      </w:r>
    </w:p>
    <w:p w14:paraId="2897FEB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3"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楷体_GB2312" w:cs="Times New Roman"/>
          <w:b/>
          <w:color w:val="000000"/>
          <w:kern w:val="2"/>
          <w:sz w:val="32"/>
          <w:szCs w:val="32"/>
          <w:lang w:val="en-US" w:eastAsia="zh-CN" w:bidi="ar"/>
        </w:rPr>
        <w:t>（四）强化竣工验收把关。</w:t>
      </w:r>
      <w:r>
        <w:rPr>
          <w:rFonts w:hint="default" w:ascii="Times New Roman" w:hAnsi="Times New Roman" w:eastAsia="仿宋_GB2312" w:cs="Times New Roman"/>
          <w:kern w:val="2"/>
          <w:sz w:val="32"/>
          <w:szCs w:val="32"/>
          <w:lang w:val="en-US" w:eastAsia="zh-CN" w:bidi="ar"/>
        </w:rPr>
        <w:t>承担配建任务的项目建设单位应将新建住宅区配建社区养老服务设施纳入工程验收范围，向项目所在地民政部门申报，请民政部门参与竣工验收。自然资源部门应当对社区养老服务设施建设是否符合规划条件进行核实。未经规划核实或者经核实不符合规划条件的，不予核发建设工程竣工规划核实认可文件</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不得组织竣工联合验收。</w:t>
      </w:r>
    </w:p>
    <w:p w14:paraId="442A421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三、规范设施移交登记</w:t>
      </w:r>
    </w:p>
    <w:p w14:paraId="34186C7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lang w:val="zh-CN" w:eastAsia="zh-CN"/>
        </w:rPr>
      </w:pPr>
      <w:r>
        <w:rPr>
          <w:rFonts w:hint="default" w:ascii="Times New Roman" w:hAnsi="Times New Roman" w:eastAsia="楷体_GB2312" w:cs="Times New Roman"/>
          <w:b/>
          <w:color w:val="000000"/>
          <w:kern w:val="2"/>
          <w:sz w:val="32"/>
          <w:szCs w:val="32"/>
          <w:lang w:val="en-US" w:eastAsia="zh-CN" w:bidi="ar"/>
        </w:rPr>
        <w:t>（一）规范移交程序。</w:t>
      </w:r>
      <w:r>
        <w:rPr>
          <w:rFonts w:hint="default" w:ascii="Times New Roman" w:hAnsi="Times New Roman" w:eastAsia="仿宋_GB2312" w:cs="Times New Roman"/>
          <w:kern w:val="2"/>
          <w:sz w:val="32"/>
          <w:szCs w:val="32"/>
          <w:lang w:val="en-US" w:eastAsia="zh-CN" w:bidi="ar"/>
        </w:rPr>
        <w:t>民政部门可根据本地实际情况协同有关部门制定新建社区养老服务设施的移交办法。</w:t>
      </w:r>
      <w:r>
        <w:rPr>
          <w:rFonts w:hint="default" w:ascii="Times New Roman" w:hAnsi="Times New Roman" w:eastAsia="仿宋_GB2312" w:cs="Times New Roman"/>
          <w:color w:val="000000"/>
          <w:kern w:val="2"/>
          <w:sz w:val="32"/>
          <w:szCs w:val="32"/>
          <w:lang w:val="en-US" w:eastAsia="zh-CN" w:bidi="ar"/>
        </w:rPr>
        <w:t>新建住宅区开发建设单位应自竣工验收</w:t>
      </w:r>
      <w:r>
        <w:rPr>
          <w:rFonts w:hint="default" w:ascii="Times New Roman" w:hAnsi="Times New Roman" w:eastAsia="仿宋_GB2312" w:cs="Times New Roman"/>
          <w:kern w:val="2"/>
          <w:sz w:val="32"/>
          <w:szCs w:val="32"/>
          <w:lang w:val="en-US" w:eastAsia="zh-CN" w:bidi="ar"/>
        </w:rPr>
        <w:t>合格之日起3个月内，将社区养老服务设施以及有关建设资料无偿移交给国有土地使用权出让合同约定的接收主体。合同约定原则上移交给所在地街道办事处</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乡镇人民政府</w:t>
      </w:r>
      <w:r>
        <w:rPr>
          <w:rFonts w:hint="eastAsia" w:ascii="Times New Roman" w:hAnsi="Times New Roman" w:eastAsia="仿宋_GB2312" w:cs="Times New Roman"/>
          <w:kern w:val="2"/>
          <w:sz w:val="32"/>
          <w:szCs w:val="32"/>
          <w:lang w:val="en-US" w:eastAsia="zh-CN" w:bidi="ar"/>
        </w:rPr>
        <w:t>或</w:t>
      </w:r>
      <w:r>
        <w:rPr>
          <w:rFonts w:hint="default" w:ascii="Times New Roman" w:hAnsi="Times New Roman" w:eastAsia="仿宋_GB2312" w:cs="Times New Roman"/>
          <w:kern w:val="2"/>
          <w:sz w:val="32"/>
          <w:szCs w:val="32"/>
          <w:lang w:val="en-US" w:eastAsia="zh-CN" w:bidi="ar"/>
        </w:rPr>
        <w:t>县市区民政部门。</w:t>
      </w:r>
      <w:r>
        <w:rPr>
          <w:rFonts w:hint="default" w:ascii="Times New Roman" w:hAnsi="Times New Roman" w:eastAsia="仿宋_GB2312" w:cs="Times New Roman"/>
          <w:kern w:val="2"/>
          <w:sz w:val="32"/>
          <w:szCs w:val="32"/>
          <w:lang w:val="zh-CN" w:eastAsia="zh-CN" w:bidi="ar"/>
        </w:rPr>
        <w:t>民政部门</w:t>
      </w:r>
      <w:r>
        <w:rPr>
          <w:rFonts w:hint="default" w:ascii="Times New Roman" w:hAnsi="Times New Roman" w:eastAsia="仿宋_GB2312" w:cs="Times New Roman"/>
          <w:kern w:val="2"/>
          <w:sz w:val="32"/>
          <w:szCs w:val="32"/>
          <w:lang w:val="en-US" w:eastAsia="zh-CN" w:bidi="ar"/>
        </w:rPr>
        <w:t>负责业务</w:t>
      </w:r>
      <w:r>
        <w:rPr>
          <w:rFonts w:hint="default" w:ascii="Times New Roman" w:hAnsi="Times New Roman" w:eastAsia="仿宋_GB2312" w:cs="Times New Roman"/>
          <w:kern w:val="2"/>
          <w:sz w:val="32"/>
          <w:szCs w:val="32"/>
          <w:lang w:val="zh-CN" w:eastAsia="zh-CN" w:bidi="ar"/>
        </w:rPr>
        <w:t>监管，确保</w:t>
      </w:r>
      <w:r>
        <w:rPr>
          <w:rFonts w:hint="default" w:ascii="Times New Roman" w:hAnsi="Times New Roman" w:eastAsia="仿宋_GB2312" w:cs="Times New Roman"/>
          <w:kern w:val="2"/>
          <w:sz w:val="32"/>
          <w:szCs w:val="32"/>
          <w:lang w:val="en-US" w:eastAsia="zh-CN" w:bidi="ar"/>
        </w:rPr>
        <w:t>设施用</w:t>
      </w:r>
      <w:r>
        <w:rPr>
          <w:rFonts w:hint="default" w:ascii="Times New Roman" w:hAnsi="Times New Roman" w:eastAsia="仿宋_GB2312" w:cs="Times New Roman"/>
          <w:color w:val="000000"/>
          <w:kern w:val="2"/>
          <w:sz w:val="32"/>
          <w:szCs w:val="32"/>
          <w:lang w:val="en-US" w:eastAsia="zh-CN" w:bidi="ar"/>
        </w:rPr>
        <w:t>于</w:t>
      </w:r>
      <w:r>
        <w:rPr>
          <w:rFonts w:hint="default" w:ascii="Times New Roman" w:hAnsi="Times New Roman" w:eastAsia="仿宋_GB2312" w:cs="Times New Roman"/>
          <w:color w:val="000000"/>
          <w:kern w:val="2"/>
          <w:sz w:val="32"/>
          <w:szCs w:val="32"/>
          <w:lang w:val="zh-CN" w:eastAsia="zh-CN" w:bidi="ar"/>
        </w:rPr>
        <w:t>养老服务。</w:t>
      </w:r>
    </w:p>
    <w:p w14:paraId="456F520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lang w:val="zh-CN" w:eastAsia="zh-CN"/>
        </w:rPr>
      </w:pPr>
      <w:r>
        <w:rPr>
          <w:rFonts w:hint="default" w:ascii="Times New Roman" w:hAnsi="Times New Roman" w:eastAsia="楷体_GB2312" w:cs="Times New Roman"/>
          <w:b/>
          <w:color w:val="000000"/>
          <w:kern w:val="2"/>
          <w:sz w:val="32"/>
          <w:szCs w:val="32"/>
          <w:lang w:val="en-US" w:eastAsia="zh-CN" w:bidi="ar"/>
        </w:rPr>
        <w:t>（二）签订移交协议。</w:t>
      </w:r>
      <w:r>
        <w:rPr>
          <w:rFonts w:hint="default" w:ascii="Times New Roman" w:hAnsi="Times New Roman" w:eastAsia="仿宋_GB2312" w:cs="Times New Roman"/>
          <w:kern w:val="2"/>
          <w:sz w:val="32"/>
          <w:szCs w:val="32"/>
          <w:lang w:val="en-US" w:eastAsia="zh-CN" w:bidi="ar"/>
        </w:rPr>
        <w:t>国有建设用地使用权竞得人签订《国有建设用地使用权出让合同》，或划拨建设用地使用权人取得《划拨决定书》时，须同时与所属街道办事处</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乡镇人民政府</w:t>
      </w:r>
      <w:r>
        <w:rPr>
          <w:rFonts w:hint="eastAsia" w:ascii="Times New Roman" w:hAnsi="Times New Roman" w:eastAsia="仿宋_GB2312" w:cs="Times New Roman"/>
          <w:kern w:val="2"/>
          <w:sz w:val="32"/>
          <w:szCs w:val="32"/>
          <w:lang w:val="en-US" w:eastAsia="zh-CN" w:bidi="ar"/>
        </w:rPr>
        <w:t>或</w:t>
      </w:r>
      <w:r>
        <w:rPr>
          <w:rFonts w:hint="default" w:ascii="Times New Roman" w:hAnsi="Times New Roman" w:eastAsia="仿宋_GB2312" w:cs="Times New Roman"/>
          <w:kern w:val="2"/>
          <w:sz w:val="32"/>
          <w:szCs w:val="32"/>
          <w:lang w:val="en-US" w:eastAsia="zh-CN" w:bidi="ar"/>
        </w:rPr>
        <w:t>县市区民政部门签订新建住宅区社区养老服务设施配建移交的三方协议。</w:t>
      </w:r>
    </w:p>
    <w:p w14:paraId="0454268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lang w:val="en-US"/>
        </w:rPr>
      </w:pPr>
      <w:r>
        <w:rPr>
          <w:rFonts w:hint="default" w:ascii="Times New Roman" w:hAnsi="Times New Roman" w:eastAsia="楷体_GB2312" w:cs="Times New Roman"/>
          <w:b/>
          <w:color w:val="000000"/>
          <w:kern w:val="2"/>
          <w:sz w:val="32"/>
          <w:szCs w:val="32"/>
          <w:lang w:val="en-US" w:eastAsia="zh-CN" w:bidi="ar"/>
        </w:rPr>
        <w:t>（三）办理产权登记。</w:t>
      </w:r>
      <w:r>
        <w:rPr>
          <w:rFonts w:hint="default" w:ascii="Times New Roman" w:hAnsi="Times New Roman" w:eastAsia="仿宋_GB2312" w:cs="Times New Roman"/>
          <w:kern w:val="2"/>
          <w:sz w:val="32"/>
          <w:szCs w:val="32"/>
          <w:lang w:val="en-US" w:eastAsia="zh-CN" w:bidi="ar"/>
        </w:rPr>
        <w:t>建设单位须与接受主体持移交协议和不动产登记规定的其他材料，</w:t>
      </w:r>
      <w:r>
        <w:rPr>
          <w:rFonts w:hint="default" w:ascii="Times New Roman" w:hAnsi="Times New Roman" w:eastAsia="仿宋_GB2312" w:cs="Times New Roman"/>
          <w:color w:val="000000"/>
          <w:kern w:val="2"/>
          <w:sz w:val="32"/>
          <w:szCs w:val="32"/>
          <w:lang w:val="en-US" w:eastAsia="zh-CN" w:bidi="ar"/>
        </w:rPr>
        <w:t>共同申请社区养老服务设施用房的首次登记。不动产登记机构应单独登记，房屋用途明确为“社区养老服务设施用房”。</w:t>
      </w:r>
    </w:p>
    <w:p w14:paraId="433EF26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四、落实日常运营管理</w:t>
      </w:r>
    </w:p>
    <w:p w14:paraId="05865CC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楷体_GB2312" w:cs="Times New Roman"/>
          <w:b/>
          <w:color w:val="000000"/>
          <w:kern w:val="2"/>
          <w:sz w:val="32"/>
          <w:szCs w:val="32"/>
          <w:lang w:val="en-US" w:eastAsia="zh-CN" w:bidi="ar"/>
        </w:rPr>
        <w:t>（一）分类明确运营原则。</w:t>
      </w:r>
      <w:r>
        <w:rPr>
          <w:rFonts w:hint="default" w:ascii="Times New Roman" w:hAnsi="Times New Roman" w:eastAsia="仿宋_GB2312" w:cs="Times New Roman"/>
          <w:kern w:val="2"/>
          <w:sz w:val="32"/>
          <w:szCs w:val="32"/>
          <w:lang w:val="en-US" w:eastAsia="zh-CN" w:bidi="ar"/>
        </w:rPr>
        <w:t>政府所有产权的社区养老服务设施</w:t>
      </w:r>
      <w:r>
        <w:rPr>
          <w:rFonts w:hint="eastAsia" w:ascii="Times New Roman" w:hAnsi="Times New Roman" w:eastAsia="仿宋_GB2312" w:cs="Times New Roman"/>
          <w:kern w:val="2"/>
          <w:sz w:val="32"/>
          <w:szCs w:val="32"/>
          <w:lang w:val="en-US" w:eastAsia="zh-CN" w:bidi="ar"/>
        </w:rPr>
        <w:t>，应当无偿或低偿</w:t>
      </w:r>
      <w:r>
        <w:rPr>
          <w:rFonts w:hint="default" w:ascii="Times New Roman" w:hAnsi="Times New Roman" w:eastAsia="仿宋_GB2312" w:cs="Times New Roman"/>
          <w:kern w:val="2"/>
          <w:sz w:val="32"/>
          <w:szCs w:val="32"/>
          <w:lang w:val="en-US" w:eastAsia="zh-CN" w:bidi="ar"/>
        </w:rPr>
        <w:t>用于开展非营利性养老服务，优先保障辖区内特困、经济困难、失能、高龄老年人的养老服务需求，街道办事处</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乡镇人民政府</w:t>
      </w:r>
      <w:r>
        <w:rPr>
          <w:rFonts w:hint="eastAsia" w:ascii="Times New Roman" w:hAnsi="Times New Roman" w:eastAsia="仿宋_GB2312" w:cs="Times New Roman"/>
          <w:kern w:val="2"/>
          <w:sz w:val="32"/>
          <w:szCs w:val="32"/>
          <w:lang w:val="en-US" w:eastAsia="zh-CN" w:bidi="ar"/>
        </w:rPr>
        <w:t>或</w:t>
      </w:r>
      <w:r>
        <w:rPr>
          <w:rFonts w:hint="default" w:ascii="Times New Roman" w:hAnsi="Times New Roman" w:eastAsia="仿宋_GB2312" w:cs="Times New Roman"/>
          <w:kern w:val="2"/>
          <w:sz w:val="32"/>
          <w:szCs w:val="32"/>
          <w:lang w:val="en-US" w:eastAsia="zh-CN" w:bidi="ar"/>
        </w:rPr>
        <w:t>县市区民政部门依法依规公开选择运营机构</w:t>
      </w:r>
      <w:r>
        <w:rPr>
          <w:rFonts w:hint="eastAsia" w:ascii="Times New Roman" w:hAnsi="Times New Roman" w:eastAsia="仿宋_GB2312" w:cs="Times New Roman"/>
          <w:kern w:val="2"/>
          <w:sz w:val="32"/>
          <w:szCs w:val="32"/>
          <w:lang w:val="en-US" w:eastAsia="zh-CN" w:bidi="ar"/>
        </w:rPr>
        <w:t>，鼓励</w:t>
      </w:r>
      <w:r>
        <w:rPr>
          <w:rFonts w:hint="default" w:ascii="Times New Roman" w:hAnsi="Times New Roman" w:eastAsia="仿宋_GB2312" w:cs="Times New Roman"/>
          <w:kern w:val="2"/>
          <w:sz w:val="32"/>
          <w:szCs w:val="32"/>
          <w:lang w:val="en-US" w:eastAsia="zh-CN" w:bidi="ar"/>
        </w:rPr>
        <w:t>连锁化、品牌化的专业养老服务组织</w:t>
      </w:r>
      <w:r>
        <w:rPr>
          <w:rFonts w:hint="eastAsia" w:ascii="Times New Roman" w:hAnsi="Times New Roman" w:eastAsia="仿宋_GB2312" w:cs="Times New Roman"/>
          <w:kern w:val="2"/>
          <w:sz w:val="32"/>
          <w:szCs w:val="32"/>
          <w:lang w:val="en-US" w:eastAsia="zh-CN" w:bidi="ar"/>
        </w:rPr>
        <w:t>参与</w:t>
      </w:r>
      <w:r>
        <w:rPr>
          <w:rFonts w:hint="default" w:ascii="Times New Roman" w:hAnsi="Times New Roman" w:eastAsia="仿宋_GB2312" w:cs="Times New Roman"/>
          <w:kern w:val="2"/>
          <w:sz w:val="32"/>
          <w:szCs w:val="32"/>
          <w:lang w:val="en-US" w:eastAsia="zh-CN" w:bidi="ar"/>
        </w:rPr>
        <w:t>运营</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非政府产权的社区养老服务设施，民政部门要加强日常指导和监督管理，确保用于开展养老服务。</w:t>
      </w:r>
    </w:p>
    <w:p w14:paraId="523C4CE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楷体_GB2312" w:cs="Times New Roman"/>
          <w:b/>
          <w:color w:val="000000"/>
          <w:kern w:val="2"/>
          <w:sz w:val="32"/>
          <w:szCs w:val="32"/>
          <w:lang w:val="en-US" w:eastAsia="zh-CN" w:bidi="ar"/>
        </w:rPr>
        <w:t>（二）规范组织委托运营。</w:t>
      </w:r>
      <w:r>
        <w:rPr>
          <w:rFonts w:hint="default" w:ascii="Times New Roman" w:hAnsi="Times New Roman" w:eastAsia="仿宋_GB2312" w:cs="Times New Roman"/>
          <w:kern w:val="2"/>
          <w:sz w:val="32"/>
          <w:szCs w:val="32"/>
          <w:lang w:val="en-US" w:eastAsia="zh-CN" w:bidi="ar"/>
        </w:rPr>
        <w:t>委托运营</w:t>
      </w:r>
      <w:r>
        <w:rPr>
          <w:rFonts w:hint="eastAsia" w:ascii="Times New Roman" w:hAnsi="Times New Roman" w:eastAsia="仿宋_GB2312" w:cs="Times New Roman"/>
          <w:kern w:val="2"/>
          <w:sz w:val="32"/>
          <w:szCs w:val="32"/>
          <w:lang w:val="en-US" w:eastAsia="zh-CN" w:bidi="ar"/>
        </w:rPr>
        <w:t>应</w:t>
      </w:r>
      <w:r>
        <w:rPr>
          <w:rFonts w:hint="default" w:ascii="Times New Roman" w:hAnsi="Times New Roman" w:eastAsia="仿宋_GB2312" w:cs="Times New Roman"/>
          <w:kern w:val="2"/>
          <w:sz w:val="32"/>
          <w:szCs w:val="32"/>
          <w:lang w:val="en-US" w:eastAsia="zh-CN" w:bidi="ar"/>
        </w:rPr>
        <w:t>签订书面协议，</w:t>
      </w:r>
      <w:r>
        <w:rPr>
          <w:rFonts w:hint="default" w:ascii="Times New Roman" w:hAnsi="Times New Roman" w:eastAsia="仿宋_GB2312" w:cs="Times New Roman"/>
          <w:color w:val="000000"/>
          <w:kern w:val="2"/>
          <w:sz w:val="32"/>
          <w:szCs w:val="32"/>
          <w:lang w:val="en-US" w:eastAsia="zh-CN" w:bidi="ar"/>
        </w:rPr>
        <w:t>明确委托运营设施的基本情况、服务内容与标准、服务质量承诺、双方投入资产、合作期限、权利义务、费用缴纳、设施运营与移交、设施设备的维修保养、退出要求、变更终止、违约责任等关键事项，并附相关资产明细表。严禁运营机构转委托其他组织运营。运营机构要建立规范的服务流程、质量跟踪回访、信息公示等制度。按照有关规定合理确定收费标准，服务项目、服务承诺、投诉电话等须在醒目位置公开，接受监督。合同期内运营良好、社会反响较好、有意续签的社区养老服务设施运营机构，应在合</w:t>
      </w:r>
      <w:r>
        <w:rPr>
          <w:rFonts w:hint="default" w:ascii="Times New Roman" w:hAnsi="Times New Roman" w:eastAsia="仿宋_GB2312" w:cs="Times New Roman"/>
          <w:kern w:val="2"/>
          <w:sz w:val="32"/>
          <w:szCs w:val="32"/>
          <w:lang w:val="en-US" w:eastAsia="zh-CN" w:bidi="ar"/>
        </w:rPr>
        <w:t>同期满前6个月提出续签申请，在同等条件下可优先续签。合同期满后不再续签的运营机构，应在合同期满前3个月告知运营委托方，按程序办理终止合同等相关手续，并配合做好服务交接。</w:t>
      </w:r>
    </w:p>
    <w:p w14:paraId="03E4716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lang w:val="en-US"/>
        </w:rPr>
      </w:pPr>
      <w:r>
        <w:rPr>
          <w:rFonts w:hint="default" w:ascii="Times New Roman" w:hAnsi="Times New Roman" w:eastAsia="楷体_GB2312" w:cs="Times New Roman"/>
          <w:b/>
          <w:color w:val="000000"/>
          <w:kern w:val="2"/>
          <w:sz w:val="32"/>
          <w:szCs w:val="32"/>
          <w:lang w:val="en-US" w:eastAsia="zh-CN" w:bidi="ar"/>
        </w:rPr>
        <w:t>（三）强化运营动态监管。</w:t>
      </w:r>
      <w:r>
        <w:rPr>
          <w:rFonts w:hint="default" w:ascii="Times New Roman" w:hAnsi="Times New Roman" w:eastAsia="仿宋_GB2312" w:cs="Times New Roman"/>
          <w:kern w:val="2"/>
          <w:sz w:val="32"/>
          <w:szCs w:val="32"/>
          <w:lang w:val="en-US" w:eastAsia="zh-CN" w:bidi="ar"/>
        </w:rPr>
        <w:t>加强对社区养老服务设施运营过程的动态监管。对出现下列情形的，应当下发整改通知书，责令限期整改：（1）殴打、辱骂老年人等欺老骗老虐老行为、泄露老年人隐私信息以及其他违背公序良俗、违背孝老敬老的行为。（2）以任何形式开展赌博、宗教迷信、色情等违法违规活动。（3）发布虚假违法保健食品广告的行为，以及对保健食品保健功能的虚假宣传行为；以各种方式欺诈销售保健食品，或为其他经营主体推销活动提供支持。（4）假借介绍保险产品名义，向老年人推销基金、信托、第三方理财、网络借贷、股权投资、债权投资等非保险金融产品，以“保本高收益”引诱老年人出资购买等行为。（5）承诺还本付息，以办理“贵宾卡”“会员卡”“预付卡”等名义，向老年人收取高额会员费、保证金或者为会员卡充值，非法吸收公众资金。（6）违规倒卖、出租、出售</w:t>
      </w:r>
      <w:r>
        <w:rPr>
          <w:rFonts w:hint="default" w:ascii="Times New Roman" w:hAnsi="Times New Roman" w:eastAsia="仿宋_GB2312" w:cs="Times New Roman"/>
          <w:color w:val="000000"/>
          <w:kern w:val="2"/>
          <w:sz w:val="32"/>
          <w:szCs w:val="32"/>
          <w:lang w:val="en-US" w:eastAsia="zh-CN" w:bidi="ar"/>
        </w:rPr>
        <w:t>、转让社区养老服务设施经营权。（7）擅自改变设施用途。（8）提供虚假服务流量信息、冒领运营补贴。（9）无正当理由连续1个月以上不开展服务。（10）从事与老年人服务无关的经营行为。</w:t>
      </w:r>
    </w:p>
    <w:p w14:paraId="487F453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五、建立健全监管机制</w:t>
      </w:r>
    </w:p>
    <w:p w14:paraId="4A2114B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lang w:val="en-US"/>
        </w:rPr>
      </w:pPr>
      <w:r>
        <w:rPr>
          <w:rFonts w:hint="default" w:ascii="Times New Roman" w:hAnsi="Times New Roman" w:eastAsia="楷体_GB2312" w:cs="Times New Roman"/>
          <w:b/>
          <w:color w:val="000000"/>
          <w:kern w:val="2"/>
          <w:sz w:val="32"/>
          <w:szCs w:val="32"/>
          <w:lang w:val="en-US" w:eastAsia="zh-CN" w:bidi="ar"/>
        </w:rPr>
        <w:t>（一）健全工作机制。</w:t>
      </w:r>
      <w:r>
        <w:rPr>
          <w:rFonts w:hint="default" w:ascii="Times New Roman" w:hAnsi="Times New Roman" w:eastAsia="仿宋_GB2312" w:cs="Times New Roman"/>
          <w:kern w:val="2"/>
          <w:sz w:val="32"/>
          <w:szCs w:val="32"/>
          <w:lang w:val="en-US" w:eastAsia="zh-CN" w:bidi="ar"/>
        </w:rPr>
        <w:t>加强社区养老服务设施配建和运营的组织领导，建立联合工作机制，民政部门牵头制定设施配建标准及运营规范，动态更新养老服务需求数据；自然资源部门在土地出让和规划环节严格落实配建要求；住房城乡建设部门加强对设施建设、验收移交全过程监管。</w:t>
      </w:r>
    </w:p>
    <w:p w14:paraId="0435D0A2">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outlineLvl w:val="9"/>
        <w:rPr>
          <w:rFonts w:hint="default" w:ascii="Times New Roman" w:hAnsi="Times New Roman" w:eastAsia="仿宋_GB2312" w:cs="Times New Roman"/>
          <w:b/>
          <w:color w:val="000000"/>
          <w:kern w:val="2"/>
          <w:sz w:val="32"/>
          <w:szCs w:val="32"/>
          <w:lang w:val="en-US"/>
        </w:rPr>
      </w:pPr>
      <w:bookmarkStart w:id="1" w:name="No59_D4"/>
      <w:bookmarkEnd w:id="1"/>
      <w:r>
        <w:rPr>
          <w:rFonts w:hint="default" w:ascii="Times New Roman" w:hAnsi="Times New Roman" w:eastAsia="楷体_GB2312" w:cs="Times New Roman"/>
          <w:b/>
          <w:color w:val="000000"/>
          <w:kern w:val="2"/>
          <w:sz w:val="32"/>
          <w:szCs w:val="32"/>
          <w:lang w:val="en-US" w:eastAsia="zh-CN" w:bidi="ar"/>
        </w:rPr>
        <w:t>（二）加强评估监管。</w:t>
      </w:r>
      <w:r>
        <w:rPr>
          <w:rFonts w:hint="default" w:ascii="Times New Roman" w:hAnsi="Times New Roman" w:eastAsia="仿宋_GB2312" w:cs="Times New Roman"/>
          <w:kern w:val="2"/>
          <w:sz w:val="32"/>
          <w:szCs w:val="32"/>
          <w:lang w:eastAsia="zh-CN"/>
        </w:rPr>
        <w:t>各地民政部门定期会同有关部门对社区养老服务设施的</w:t>
      </w:r>
      <w:r>
        <w:rPr>
          <w:rFonts w:hint="default" w:ascii="Times New Roman" w:hAnsi="Times New Roman" w:eastAsia="仿宋_GB2312" w:cs="Times New Roman"/>
          <w:color w:val="000000"/>
          <w:kern w:val="2"/>
          <w:sz w:val="32"/>
          <w:szCs w:val="32"/>
          <w:lang w:eastAsia="zh-CN"/>
        </w:rPr>
        <w:t>规划配建、运营管理和服务成效进行评估监管，对未按规定配建和移交的项目实行清单化管理，限期整改，推动形成“规划—建设—移交—运营”闭环管理链条。</w:t>
      </w:r>
      <w:r>
        <w:rPr>
          <w:rFonts w:hint="default" w:ascii="Times New Roman" w:hAnsi="Times New Roman" w:eastAsia="仿宋_GB2312" w:cs="Times New Roman"/>
          <w:kern w:val="2"/>
          <w:sz w:val="32"/>
          <w:szCs w:val="32"/>
          <w:lang w:eastAsia="zh-CN"/>
        </w:rPr>
        <w:t>建立年度定期通报制度，每年</w:t>
      </w:r>
      <w:r>
        <w:rPr>
          <w:rFonts w:hint="default" w:ascii="Times New Roman" w:hAnsi="Times New Roman" w:eastAsia="仿宋_GB2312" w:cs="Times New Roman"/>
          <w:kern w:val="2"/>
          <w:sz w:val="32"/>
          <w:szCs w:val="32"/>
          <w:lang w:val="en-US"/>
        </w:rPr>
        <w:t>10</w:t>
      </w:r>
      <w:r>
        <w:rPr>
          <w:rFonts w:hint="default" w:ascii="Times New Roman" w:hAnsi="Times New Roman" w:eastAsia="仿宋_GB2312" w:cs="Times New Roman"/>
          <w:kern w:val="2"/>
          <w:sz w:val="32"/>
          <w:szCs w:val="32"/>
          <w:lang w:eastAsia="zh-CN"/>
        </w:rPr>
        <w:t>月，由民政部门牵头将辖区养老服务设施建设工作开展情况报送同级养老服务联席会议及</w:t>
      </w:r>
      <w:r>
        <w:rPr>
          <w:rFonts w:hint="default" w:ascii="Times New Roman" w:hAnsi="Times New Roman" w:eastAsia="仿宋_GB2312" w:cs="Times New Roman"/>
          <w:color w:val="000000"/>
          <w:kern w:val="2"/>
          <w:sz w:val="32"/>
          <w:szCs w:val="32"/>
          <w:lang w:eastAsia="zh-CN"/>
        </w:rPr>
        <w:t>省级相关部门。</w:t>
      </w:r>
    </w:p>
    <w:p w14:paraId="33601B78">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outlineLvl w:val="9"/>
        <w:rPr>
          <w:rFonts w:hint="default" w:ascii="Times New Roman" w:hAnsi="Times New Roman" w:eastAsia="仿宋_GB2312" w:cs="Times New Roman"/>
          <w:kern w:val="2"/>
          <w:sz w:val="32"/>
          <w:szCs w:val="32"/>
          <w:lang w:val="en-US"/>
        </w:rPr>
      </w:pPr>
      <w:r>
        <w:rPr>
          <w:rFonts w:hint="default" w:ascii="Times New Roman" w:hAnsi="Times New Roman" w:eastAsia="楷体_GB2312" w:cs="Times New Roman"/>
          <w:b/>
          <w:color w:val="000000"/>
          <w:kern w:val="2"/>
          <w:sz w:val="32"/>
          <w:szCs w:val="32"/>
          <w:lang w:val="en-US" w:eastAsia="zh-CN" w:bidi="ar"/>
        </w:rPr>
        <w:t>（三）注重协同联动。</w:t>
      </w:r>
      <w:r>
        <w:rPr>
          <w:rFonts w:hint="default" w:ascii="Times New Roman" w:hAnsi="Times New Roman" w:eastAsia="仿宋_GB2312" w:cs="Times New Roman"/>
          <w:kern w:val="2"/>
          <w:sz w:val="32"/>
          <w:szCs w:val="32"/>
          <w:lang w:eastAsia="zh-CN"/>
        </w:rPr>
        <w:t>各级民政、自然资源、住房城乡建设部门要切实强化协同联动，建立健全信息共享与工作会商机制，依托政务信息平台，实现规划底数、建设进度、产权归属等关键信息实时互通，定期开展联合督查，切实保障社区养老服务设施有效供给和高效利用。</w:t>
      </w:r>
    </w:p>
    <w:p w14:paraId="136811F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3"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楷体_GB2312" w:cs="Times New Roman"/>
          <w:b/>
          <w:color w:val="000000"/>
          <w:kern w:val="2"/>
          <w:sz w:val="32"/>
          <w:szCs w:val="32"/>
          <w:lang w:val="en-US" w:eastAsia="zh-CN" w:bidi="ar"/>
        </w:rPr>
        <w:t>（四）严格责任追究。</w:t>
      </w:r>
      <w:r>
        <w:rPr>
          <w:rFonts w:hint="default" w:ascii="Times New Roman" w:hAnsi="Times New Roman" w:eastAsia="仿宋_GB2312" w:cs="Times New Roman"/>
          <w:kern w:val="2"/>
          <w:sz w:val="32"/>
          <w:szCs w:val="32"/>
          <w:lang w:val="en-US" w:eastAsia="zh-CN" w:bidi="ar"/>
        </w:rPr>
        <w:t>建立健全责任追究机制，</w:t>
      </w:r>
      <w:r>
        <w:rPr>
          <w:rFonts w:hint="default" w:ascii="Times New Roman" w:hAnsi="Times New Roman" w:eastAsia="仿宋_GB2312" w:cs="Times New Roman"/>
          <w:color w:val="000000"/>
          <w:kern w:val="2"/>
          <w:sz w:val="32"/>
          <w:szCs w:val="32"/>
          <w:lang w:val="en-US" w:eastAsia="zh-CN" w:bidi="ar"/>
        </w:rPr>
        <w:t>建设单位未按规定移交社区养老服务设施的，</w:t>
      </w:r>
      <w:r>
        <w:rPr>
          <w:rFonts w:hint="default" w:ascii="Times New Roman" w:hAnsi="Times New Roman" w:eastAsia="仿宋_GB2312" w:cs="Times New Roman"/>
          <w:kern w:val="2"/>
          <w:sz w:val="32"/>
          <w:szCs w:val="32"/>
          <w:lang w:val="en-US" w:eastAsia="zh-CN" w:bidi="ar"/>
        </w:rPr>
        <w:t>住房城乡建设和自然资源部门根据职责，计入企业信用信息，做好企业信用档案管理和发布，守信激励，失信惩戒。对因失职渎职导致规划未编制、配建不到位、设施不达标、移交不及时、运营不规范或未有效利用等问题，实行“一案双查”，既追究主体责任，又倒查监管责任，确保责任执行不打折扣，工作落实有力有效。</w:t>
      </w:r>
    </w:p>
    <w:p w14:paraId="2D5F6C6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Times New Roman"/>
          <w:kern w:val="2"/>
          <w:sz w:val="32"/>
          <w:szCs w:val="32"/>
          <w:lang w:val="en-US" w:eastAsia="zh-CN" w:bidi="ar"/>
        </w:rPr>
        <w:t>本意见自公布之日起实行，有效期五年。</w:t>
      </w:r>
      <w:r>
        <w:rPr>
          <w:rFonts w:hint="default" w:ascii="Times New Roman" w:hAnsi="Times New Roman" w:eastAsia="仿宋_GB2312" w:cs="Times New Roman"/>
          <w:kern w:val="2"/>
          <w:sz w:val="32"/>
          <w:szCs w:val="32"/>
          <w:lang w:val="en-US" w:eastAsia="zh-CN" w:bidi="ar"/>
        </w:rPr>
        <w:t>老旧小区配建养老服务设施按照相关规定执行，移交运营管理可参</w:t>
      </w:r>
      <w:r>
        <w:rPr>
          <w:rFonts w:hint="default" w:ascii="Times New Roman" w:hAnsi="Times New Roman" w:eastAsia="仿宋_GB2312" w:cs="Times New Roman"/>
          <w:color w:val="000000"/>
          <w:kern w:val="2"/>
          <w:sz w:val="32"/>
          <w:szCs w:val="32"/>
          <w:lang w:val="en-US" w:eastAsia="zh-CN" w:bidi="ar"/>
        </w:rPr>
        <w:t>照本意见。</w:t>
      </w:r>
    </w:p>
    <w:p w14:paraId="460EB64F"/>
    <w:p w14:paraId="0F86EEF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Times New Roman" w:eastAsia="仿宋" w:cs="仿宋"/>
          <w:color w:val="000000"/>
          <w:sz w:val="32"/>
          <w:szCs w:val="32"/>
          <w:lang w:val="en-US"/>
        </w:rPr>
      </w:pPr>
    </w:p>
    <w:p w14:paraId="0D3DCFB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Times New Roman" w:eastAsia="仿宋" w:cs="仿宋"/>
          <w:color w:val="000000"/>
          <w:sz w:val="32"/>
          <w:szCs w:val="32"/>
          <w:lang w:val="en-US"/>
        </w:rPr>
      </w:pPr>
    </w:p>
    <w:p w14:paraId="0437D1D5">
      <w:pPr>
        <w:keepNext w:val="0"/>
        <w:keepLines w:val="0"/>
        <w:widowControl w:val="0"/>
        <w:suppressLineNumbers w:val="0"/>
        <w:spacing w:before="0" w:beforeAutospacing="0" w:after="0" w:afterAutospacing="0" w:line="580" w:lineRule="exact"/>
        <w:ind w:left="0" w:right="0" w:firstLine="420" w:firstLineChars="200"/>
        <w:jc w:val="left"/>
        <w:rPr>
          <w:szCs w:val="24"/>
          <w:lang w:val="en-US"/>
        </w:rPr>
      </w:pPr>
    </w:p>
    <w:p w14:paraId="1ED45118">
      <w:pPr>
        <w:pStyle w:val="3"/>
        <w:rPr>
          <w:lang w:val="en-US"/>
        </w:rPr>
      </w:pPr>
    </w:p>
    <w:p w14:paraId="24C1F650">
      <w:pPr>
        <w:pStyle w:val="3"/>
        <w:rPr>
          <w:lang w:val="en-US"/>
        </w:rPr>
      </w:pPr>
    </w:p>
    <w:p w14:paraId="76FABE3D">
      <w:pPr>
        <w:rPr>
          <w:lang w:val="en-US"/>
        </w:rPr>
      </w:pPr>
    </w:p>
    <w:p w14:paraId="10A0AA53">
      <w:pPr>
        <w:rPr>
          <w:lang w:val="en-US"/>
        </w:rPr>
      </w:pPr>
    </w:p>
    <w:p w14:paraId="5F9BA0D2">
      <w:pPr>
        <w:rPr>
          <w:lang w:val="en-US"/>
        </w:rPr>
      </w:pPr>
    </w:p>
    <w:p w14:paraId="76787FB1">
      <w:pPr>
        <w:rPr>
          <w:lang w:val="en-US"/>
        </w:rPr>
      </w:pPr>
    </w:p>
    <w:p w14:paraId="404C5CE8">
      <w:pPr>
        <w:rPr>
          <w:lang w:val="en-US"/>
        </w:rPr>
      </w:pPr>
    </w:p>
    <w:p w14:paraId="60E217F2">
      <w:pPr>
        <w:rPr>
          <w:lang w:val="en-US"/>
        </w:rPr>
      </w:pPr>
    </w:p>
    <w:p w14:paraId="12D0423D">
      <w:pPr>
        <w:pStyle w:val="3"/>
        <w:rPr>
          <w:lang w:val="en-US"/>
        </w:rPr>
      </w:pPr>
    </w:p>
    <w:p w14:paraId="2EE5A3AA">
      <w:pPr>
        <w:rPr>
          <w:lang w:val="en-US"/>
        </w:rPr>
      </w:pPr>
    </w:p>
    <w:p w14:paraId="7E2E9645">
      <w:pPr>
        <w:pStyle w:val="2"/>
        <w:rPr>
          <w:lang w:val="en-US"/>
        </w:rPr>
      </w:pPr>
    </w:p>
    <w:p w14:paraId="21D5B8D1">
      <w:pPr>
        <w:rPr>
          <w:lang w:val="en-US"/>
        </w:rPr>
      </w:pPr>
    </w:p>
    <w:p w14:paraId="5BA4E84E">
      <w:pPr>
        <w:pStyle w:val="2"/>
        <w:rPr>
          <w:lang w:val="en-US"/>
        </w:rPr>
      </w:pPr>
    </w:p>
    <w:p w14:paraId="2DEC6A82">
      <w:pPr>
        <w:rPr>
          <w:lang w:val="en-US"/>
        </w:rPr>
      </w:pPr>
    </w:p>
    <w:p w14:paraId="59F9C698">
      <w:pPr>
        <w:pStyle w:val="2"/>
        <w:rPr>
          <w:lang w:val="en-US"/>
        </w:rPr>
      </w:pPr>
    </w:p>
    <w:p w14:paraId="74F423C3">
      <w:pPr>
        <w:rPr>
          <w:lang w:val="en-US"/>
        </w:rPr>
      </w:pPr>
    </w:p>
    <w:p w14:paraId="42E139DC">
      <w:pPr>
        <w:rPr>
          <w:lang w:val="en-US"/>
        </w:rPr>
      </w:pPr>
    </w:p>
    <w:p w14:paraId="0DC15C10">
      <w:pPr>
        <w:rPr>
          <w:lang w:val="en-US"/>
        </w:rPr>
      </w:pPr>
    </w:p>
    <w:p w14:paraId="61AE616A">
      <w:pPr>
        <w:rPr>
          <w:lang w:val="en-US"/>
        </w:rPr>
      </w:pPr>
    </w:p>
    <w:p w14:paraId="1AC1C5DD">
      <w:pPr>
        <w:pStyle w:val="3"/>
        <w:rPr>
          <w:lang w:val="en-US"/>
        </w:rPr>
      </w:pPr>
    </w:p>
    <w:p w14:paraId="2644E7FA">
      <w:pPr>
        <w:spacing w:line="20" w:lineRule="exact"/>
        <w:rPr>
          <w:rFonts w:ascii="宋体" w:cs="Times New Roman"/>
          <w:color w:val="auto"/>
        </w:rPr>
      </w:pPr>
    </w:p>
    <w:p w14:paraId="016989D0">
      <w:pPr>
        <w:spacing w:line="20" w:lineRule="exact"/>
        <w:rPr>
          <w:rFonts w:ascii="宋体" w:cs="Times New Roman"/>
          <w:color w:val="auto"/>
        </w:rPr>
      </w:pPr>
    </w:p>
    <w:p w14:paraId="6F930CD9">
      <w:pPr>
        <w:spacing w:line="20" w:lineRule="exact"/>
        <w:rPr>
          <w:rFonts w:ascii="宋体" w:cs="Times New Roman"/>
          <w:color w:val="auto"/>
        </w:rPr>
      </w:pPr>
    </w:p>
    <w:p w14:paraId="31251F4B">
      <w:pPr>
        <w:spacing w:line="20" w:lineRule="exact"/>
        <w:rPr>
          <w:rFonts w:ascii="宋体" w:cs="Times New Roman"/>
          <w:color w:val="auto"/>
        </w:rPr>
      </w:pPr>
    </w:p>
    <w:p w14:paraId="1268957A">
      <w:pPr>
        <w:spacing w:line="20" w:lineRule="exact"/>
        <w:rPr>
          <w:rFonts w:ascii="宋体" w:cs="Times New Roman"/>
          <w:color w:val="auto"/>
        </w:rPr>
      </w:pPr>
    </w:p>
    <w:p w14:paraId="4F508174">
      <w:pPr>
        <w:spacing w:line="20" w:lineRule="exact"/>
        <w:rPr>
          <w:rFonts w:ascii="宋体" w:cs="Times New Roman"/>
          <w:color w:val="auto"/>
        </w:rPr>
      </w:pPr>
    </w:p>
    <w:p w14:paraId="267234E8">
      <w:pPr>
        <w:spacing w:line="20" w:lineRule="exact"/>
        <w:ind w:firstLine="640" w:firstLineChars="200"/>
        <w:rPr>
          <w:rFonts w:eastAsia="仿宋_GB2312" w:cs="Times New Roman"/>
          <w:color w:val="auto"/>
          <w:sz w:val="32"/>
          <w:szCs w:val="32"/>
        </w:rPr>
      </w:pPr>
    </w:p>
    <w:p w14:paraId="7CE2E1CE">
      <w:pPr>
        <w:spacing w:line="20" w:lineRule="exact"/>
        <w:rPr>
          <w:rFonts w:ascii="宋体" w:cs="Times New Roman"/>
          <w:color w:val="auto"/>
        </w:rPr>
      </w:pPr>
    </w:p>
    <w:p w14:paraId="070A9316">
      <w:pPr>
        <w:spacing w:line="20" w:lineRule="exact"/>
        <w:ind w:firstLine="640" w:firstLineChars="200"/>
        <w:rPr>
          <w:rFonts w:eastAsia="仿宋_GB2312" w:cs="Times New Roman"/>
          <w:color w:val="auto"/>
          <w:sz w:val="32"/>
          <w:szCs w:val="32"/>
        </w:rPr>
      </w:pPr>
    </w:p>
    <w:p w14:paraId="6315333C">
      <w:pPr>
        <w:spacing w:line="20" w:lineRule="exact"/>
        <w:ind w:firstLine="640" w:firstLineChars="200"/>
        <w:rPr>
          <w:rFonts w:eastAsia="仿宋_GB2312" w:cs="Times New Roman"/>
          <w:color w:val="auto"/>
          <w:sz w:val="32"/>
          <w:szCs w:val="32"/>
        </w:rPr>
      </w:pPr>
    </w:p>
    <w:p w14:paraId="23D7E7D3">
      <w:pPr>
        <w:spacing w:line="20" w:lineRule="exact"/>
        <w:ind w:firstLine="640" w:firstLineChars="200"/>
        <w:rPr>
          <w:rFonts w:eastAsia="仿宋_GB2312" w:cs="Times New Roman"/>
          <w:color w:val="auto"/>
          <w:sz w:val="32"/>
          <w:szCs w:val="32"/>
        </w:rPr>
      </w:pPr>
    </w:p>
    <w:p w14:paraId="4630C617">
      <w:pPr>
        <w:spacing w:line="20" w:lineRule="exact"/>
        <w:ind w:firstLine="640" w:firstLineChars="200"/>
        <w:rPr>
          <w:rFonts w:eastAsia="仿宋_GB2312" w:cs="Times New Roman"/>
          <w:color w:val="auto"/>
          <w:sz w:val="32"/>
          <w:szCs w:val="32"/>
        </w:rPr>
      </w:pPr>
    </w:p>
    <w:p w14:paraId="69D63E7B">
      <w:pPr>
        <w:spacing w:line="20" w:lineRule="exact"/>
        <w:ind w:firstLine="640" w:firstLineChars="200"/>
        <w:rPr>
          <w:rFonts w:eastAsia="仿宋_GB2312" w:cs="Times New Roman"/>
          <w:color w:val="auto"/>
          <w:sz w:val="32"/>
          <w:szCs w:val="32"/>
        </w:rPr>
      </w:pPr>
    </w:p>
    <w:p w14:paraId="2171E580">
      <w:pPr>
        <w:spacing w:line="20" w:lineRule="exact"/>
        <w:ind w:firstLine="640" w:firstLineChars="200"/>
        <w:rPr>
          <w:rFonts w:eastAsia="仿宋_GB2312" w:cs="Times New Roman"/>
          <w:color w:val="auto"/>
          <w:sz w:val="32"/>
          <w:szCs w:val="32"/>
        </w:rPr>
      </w:pPr>
    </w:p>
    <w:p w14:paraId="5522463E">
      <w:pPr>
        <w:spacing w:line="20" w:lineRule="exact"/>
        <w:ind w:firstLine="640" w:firstLineChars="200"/>
        <w:rPr>
          <w:rFonts w:eastAsia="仿宋_GB2312" w:cs="Times New Roman"/>
          <w:color w:val="auto"/>
          <w:sz w:val="32"/>
          <w:szCs w:val="32"/>
        </w:rPr>
      </w:pPr>
    </w:p>
    <w:p w14:paraId="56DF2D75">
      <w:pPr>
        <w:spacing w:line="20" w:lineRule="exact"/>
        <w:rPr>
          <w:rFonts w:ascii="宋体" w:cs="Times New Roman"/>
          <w:color w:val="auto"/>
        </w:rPr>
      </w:pPr>
    </w:p>
    <w:p w14:paraId="7709B7A4">
      <w:pPr>
        <w:spacing w:line="20" w:lineRule="exact"/>
        <w:rPr>
          <w:rFonts w:ascii="宋体" w:cs="Times New Roman"/>
          <w:color w:val="auto"/>
        </w:rPr>
      </w:pPr>
    </w:p>
    <w:p w14:paraId="32B36C4A">
      <w:pPr>
        <w:spacing w:line="20" w:lineRule="exact"/>
        <w:rPr>
          <w:rFonts w:ascii="宋体" w:cs="Times New Roman"/>
          <w:color w:val="auto"/>
        </w:rPr>
      </w:pPr>
    </w:p>
    <w:p w14:paraId="7153E3B7">
      <w:pPr>
        <w:spacing w:line="20" w:lineRule="exact"/>
        <w:ind w:firstLine="640" w:firstLineChars="200"/>
        <w:rPr>
          <w:rFonts w:eastAsia="仿宋_GB2312" w:cs="Times New Roman"/>
          <w:color w:val="auto"/>
          <w:sz w:val="32"/>
          <w:szCs w:val="32"/>
        </w:rPr>
      </w:pPr>
    </w:p>
    <w:p w14:paraId="7DF9B98B">
      <w:pPr>
        <w:spacing w:line="20" w:lineRule="exact"/>
        <w:ind w:firstLine="640" w:firstLineChars="200"/>
        <w:rPr>
          <w:rFonts w:eastAsia="仿宋_GB2312" w:cs="Times New Roman"/>
          <w:color w:val="auto"/>
          <w:sz w:val="32"/>
          <w:szCs w:val="32"/>
        </w:rPr>
      </w:pPr>
    </w:p>
    <w:p w14:paraId="6F249684">
      <w:pPr>
        <w:spacing w:line="20" w:lineRule="exact"/>
        <w:rPr>
          <w:rFonts w:ascii="宋体" w:cs="Times New Roman"/>
          <w:color w:val="auto"/>
        </w:rPr>
      </w:pPr>
    </w:p>
    <w:p w14:paraId="1511751A">
      <w:pPr>
        <w:spacing w:line="20" w:lineRule="exact"/>
        <w:ind w:firstLine="640" w:firstLineChars="200"/>
        <w:rPr>
          <w:rFonts w:eastAsia="仿宋_GB2312" w:cs="Times New Roman"/>
          <w:color w:val="auto"/>
          <w:sz w:val="32"/>
          <w:szCs w:val="32"/>
        </w:rPr>
      </w:pPr>
    </w:p>
    <w:p w14:paraId="51870E37">
      <w:pPr>
        <w:spacing w:line="20" w:lineRule="exact"/>
        <w:rPr>
          <w:rFonts w:ascii="宋体" w:cs="Times New Roman"/>
          <w:color w:val="auto"/>
        </w:rPr>
      </w:pPr>
    </w:p>
    <w:p w14:paraId="4F2DF634">
      <w:pPr>
        <w:spacing w:line="20" w:lineRule="exact"/>
        <w:ind w:firstLine="640" w:firstLineChars="200"/>
        <w:rPr>
          <w:rFonts w:eastAsia="仿宋_GB2312" w:cs="Times New Roman"/>
          <w:color w:val="auto"/>
          <w:sz w:val="32"/>
          <w:szCs w:val="32"/>
        </w:rPr>
      </w:pPr>
    </w:p>
    <w:p w14:paraId="54D74E4B">
      <w:pPr>
        <w:spacing w:line="20" w:lineRule="exact"/>
        <w:rPr>
          <w:rFonts w:ascii="宋体" w:cs="Times New Roman"/>
          <w:color w:val="auto"/>
        </w:rPr>
      </w:pPr>
    </w:p>
    <w:p w14:paraId="6D4BD16E">
      <w:pPr>
        <w:spacing w:line="20" w:lineRule="exact"/>
        <w:ind w:firstLine="640" w:firstLineChars="200"/>
        <w:rPr>
          <w:rFonts w:eastAsia="仿宋_GB2312" w:cs="Times New Roman"/>
          <w:color w:val="auto"/>
          <w:sz w:val="32"/>
          <w:szCs w:val="32"/>
        </w:rPr>
      </w:pPr>
    </w:p>
    <w:p w14:paraId="704F5275">
      <w:pPr>
        <w:spacing w:line="20" w:lineRule="exact"/>
        <w:rPr>
          <w:rFonts w:ascii="宋体" w:cs="Times New Roman"/>
          <w:color w:val="auto"/>
        </w:rPr>
      </w:pPr>
    </w:p>
    <w:p w14:paraId="78109C15">
      <w:pPr>
        <w:spacing w:line="20" w:lineRule="exact"/>
        <w:ind w:firstLine="640" w:firstLineChars="200"/>
        <w:rPr>
          <w:rFonts w:eastAsia="仿宋_GB2312" w:cs="Times New Roman"/>
          <w:color w:val="auto"/>
          <w:sz w:val="32"/>
          <w:szCs w:val="32"/>
        </w:rPr>
      </w:pPr>
    </w:p>
    <w:p w14:paraId="702F68D2">
      <w:pPr>
        <w:spacing w:line="20" w:lineRule="exact"/>
        <w:ind w:firstLine="640" w:firstLineChars="200"/>
        <w:rPr>
          <w:rFonts w:eastAsia="仿宋_GB2312" w:cs="Times New Roman"/>
          <w:color w:val="auto"/>
          <w:sz w:val="32"/>
          <w:szCs w:val="32"/>
        </w:rPr>
      </w:pPr>
    </w:p>
    <w:p w14:paraId="479BCC3B">
      <w:pPr>
        <w:spacing w:line="20" w:lineRule="exact"/>
        <w:ind w:firstLine="640" w:firstLineChars="200"/>
        <w:rPr>
          <w:rFonts w:eastAsia="仿宋_GB2312" w:cs="Times New Roman"/>
          <w:color w:val="auto"/>
          <w:sz w:val="32"/>
          <w:szCs w:val="32"/>
        </w:rPr>
      </w:pPr>
    </w:p>
    <w:p w14:paraId="2D13E143">
      <w:pPr>
        <w:spacing w:line="20" w:lineRule="exact"/>
        <w:ind w:firstLine="640" w:firstLineChars="200"/>
        <w:rPr>
          <w:rFonts w:eastAsia="仿宋_GB2312" w:cs="Times New Roman"/>
          <w:color w:val="auto"/>
          <w:sz w:val="32"/>
          <w:szCs w:val="32"/>
        </w:rPr>
      </w:pPr>
    </w:p>
    <w:p w14:paraId="539B16D5">
      <w:pPr>
        <w:spacing w:line="20" w:lineRule="exact"/>
        <w:ind w:firstLine="640" w:firstLineChars="200"/>
        <w:rPr>
          <w:rFonts w:eastAsia="仿宋_GB2312" w:cs="Times New Roman"/>
          <w:color w:val="auto"/>
          <w:sz w:val="32"/>
          <w:szCs w:val="32"/>
        </w:rPr>
      </w:pPr>
    </w:p>
    <w:tbl>
      <w:tblPr>
        <w:tblStyle w:val="7"/>
        <w:tblW w:w="9060" w:type="dxa"/>
        <w:tblInd w:w="-106"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23689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62721028">
            <w:pPr>
              <w:keepNext w:val="0"/>
              <w:keepLines w:val="0"/>
              <w:suppressLineNumbers w:val="0"/>
              <w:spacing w:before="0" w:beforeAutospacing="0" w:after="0" w:afterAutospacing="0" w:line="520" w:lineRule="exact"/>
              <w:ind w:left="0" w:right="0"/>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 xml:space="preserve"> 主动</w:t>
            </w:r>
            <w:r>
              <w:rPr>
                <w:rFonts w:hint="eastAsia" w:ascii="Times New Roman" w:hAnsi="Times New Roman" w:eastAsia="仿宋_GB2312" w:cs="Times New Roman"/>
                <w:color w:val="auto"/>
                <w:sz w:val="28"/>
                <w:szCs w:val="28"/>
                <w:lang w:eastAsia="zh-CN"/>
              </w:rPr>
              <w:t>公开</w:t>
            </w:r>
          </w:p>
        </w:tc>
      </w:tr>
      <w:tr w14:paraId="7A0A74B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23E9EBAB">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color w:val="auto"/>
                <w:sz w:val="28"/>
                <w:szCs w:val="28"/>
              </w:rPr>
            </w:pPr>
            <w:r>
              <w:rPr>
                <w:rFonts w:hint="eastAsia" w:ascii="Times New Roman" w:eastAsia="仿宋_GB2312" w:cs="仿宋_GB2312"/>
                <w:color w:val="auto"/>
                <w:sz w:val="28"/>
                <w:szCs w:val="28"/>
                <w:lang w:val="en-US" w:eastAsia="zh-CN"/>
              </w:rPr>
              <w:t xml:space="preserve"> </w:t>
            </w:r>
            <w:r>
              <w:rPr>
                <w:rFonts w:hint="eastAsia" w:ascii="Times New Roman" w:eastAsia="仿宋_GB2312" w:cs="仿宋_GB2312"/>
                <w:color w:val="auto"/>
                <w:sz w:val="28"/>
                <w:szCs w:val="28"/>
              </w:rPr>
              <w:t>湖南省民政厅办公室</w:t>
            </w: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asciiTheme="minorEastAsia" w:hAnsiTheme="minorEastAsia" w:eastAsiaTheme="minorEastAsia" w:cstheme="minorEastAsia"/>
                <w:color w:val="auto"/>
                <w:sz w:val="28"/>
                <w:szCs w:val="28"/>
              </w:rPr>
              <w:t>202</w:t>
            </w:r>
            <w:r>
              <w:rPr>
                <w:rFonts w:hint="eastAsia" w:asciiTheme="minorEastAsia" w:hAnsiTheme="minorEastAsia" w:cstheme="minorEastAsia"/>
                <w:color w:val="auto"/>
                <w:sz w:val="28"/>
                <w:szCs w:val="28"/>
                <w:lang w:val="en-US" w:eastAsia="zh-CN"/>
              </w:rPr>
              <w:t>5</w:t>
            </w:r>
            <w:r>
              <w:rPr>
                <w:rFonts w:hint="eastAsia" w:ascii="Times New Roman" w:eastAsia="仿宋_GB2312" w:cs="仿宋_GB2312"/>
                <w:color w:val="auto"/>
                <w:sz w:val="28"/>
                <w:szCs w:val="28"/>
              </w:rPr>
              <w:t>年</w:t>
            </w:r>
            <w:r>
              <w:rPr>
                <w:rFonts w:hint="eastAsia" w:asciiTheme="minorEastAsia" w:hAnsiTheme="minorEastAsia" w:cstheme="minorEastAsia"/>
                <w:color w:val="auto"/>
                <w:sz w:val="28"/>
                <w:szCs w:val="28"/>
                <w:lang w:val="en-US" w:eastAsia="zh-CN"/>
              </w:rPr>
              <w:t>12</w:t>
            </w:r>
            <w:r>
              <w:rPr>
                <w:rFonts w:hint="eastAsia" w:ascii="Times New Roman" w:eastAsia="仿宋_GB2312" w:cs="仿宋_GB2312"/>
                <w:color w:val="auto"/>
                <w:sz w:val="28"/>
                <w:szCs w:val="28"/>
              </w:rPr>
              <w:t>月</w:t>
            </w:r>
            <w:r>
              <w:rPr>
                <w:rFonts w:hint="eastAsia" w:asciiTheme="minorEastAsia" w:hAnsiTheme="minorEastAsia" w:eastAsiaTheme="minorEastAsia" w:cstheme="minorEastAsia"/>
                <w:color w:val="auto"/>
                <w:sz w:val="28"/>
                <w:szCs w:val="28"/>
                <w:lang w:val="en-US" w:eastAsia="zh-CN"/>
              </w:rPr>
              <w:t>10</w:t>
            </w:r>
            <w:r>
              <w:rPr>
                <w:rFonts w:hint="eastAsia" w:ascii="Times New Roman" w:eastAsia="仿宋_GB2312" w:cs="仿宋_GB2312"/>
                <w:color w:val="auto"/>
                <w:sz w:val="28"/>
                <w:szCs w:val="28"/>
              </w:rPr>
              <w:t>日印发</w:t>
            </w:r>
            <w:r>
              <w:rPr>
                <w:rFonts w:hint="eastAsia" w:ascii="Times New Roman" w:eastAsia="仿宋_GB2312" w:cs="仿宋_GB2312"/>
                <w:color w:val="auto"/>
                <w:sz w:val="28"/>
                <w:szCs w:val="28"/>
                <w:lang w:val="en-US" w:eastAsia="zh-CN"/>
              </w:rPr>
              <w:t xml:space="preserve"> </w:t>
            </w:r>
          </w:p>
        </w:tc>
      </w:tr>
    </w:tbl>
    <w:p w14:paraId="7ABFAC04">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default" w:ascii="Times New Roman" w:hAnsi="Times New Roman" w:cs="Times New Roman"/>
        </w:rPr>
      </w:pPr>
    </w:p>
    <w:p w14:paraId="50DCA6A0">
      <w:pPr>
        <w:rPr>
          <w:rFonts w:hint="eastAsia" w:eastAsiaTheme="minorEastAsia"/>
          <w:lang w:eastAsia="zh-CN"/>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3752850</wp:posOffset>
            </wp:positionH>
            <wp:positionV relativeFrom="paragraph">
              <wp:posOffset>30480</wp:posOffset>
            </wp:positionV>
            <wp:extent cx="1838325" cy="438150"/>
            <wp:effectExtent l="0" t="0" r="9525" b="0"/>
            <wp:wrapNone/>
            <wp:docPr id="3" name="图片 3" descr="设施配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设施配建"/>
                    <pic:cNvPicPr>
                      <a:picLocks noChangeAspect="1"/>
                    </pic:cNvPicPr>
                  </pic:nvPicPr>
                  <pic:blipFill>
                    <a:blip r:embed="rId5"/>
                    <a:stretch>
                      <a:fillRect/>
                    </a:stretch>
                  </pic:blipFill>
                  <pic:spPr>
                    <a:xfrm>
                      <a:off x="0" y="0"/>
                      <a:ext cx="1838325" cy="438150"/>
                    </a:xfrm>
                    <a:prstGeom prst="rect">
                      <a:avLst/>
                    </a:prstGeom>
                  </pic:spPr>
                </pic:pic>
              </a:graphicData>
            </a:graphic>
          </wp:anchor>
        </w:drawing>
      </w:r>
    </w:p>
    <w:sectPr>
      <w:footerReference r:id="rId3" w:type="default"/>
      <w:pgSz w:w="11906" w:h="16838"/>
      <w:pgMar w:top="2154" w:right="1474" w:bottom="1361" w:left="1587" w:header="0" w:footer="141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0EF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FF12A">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CFF12A">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47232"/>
    <w:rsid w:val="05752818"/>
    <w:rsid w:val="08692DC8"/>
    <w:rsid w:val="0C3816F7"/>
    <w:rsid w:val="1AF6275A"/>
    <w:rsid w:val="405734D2"/>
    <w:rsid w:val="4E265896"/>
    <w:rsid w:val="5B3B1018"/>
    <w:rsid w:val="5B557A89"/>
    <w:rsid w:val="646B7BAB"/>
    <w:rsid w:val="686627D8"/>
    <w:rsid w:val="6D047232"/>
    <w:rsid w:val="6FF92FAC"/>
    <w:rsid w:val="75F1466A"/>
    <w:rsid w:val="78595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4"/>
    </w:rPr>
  </w:style>
  <w:style w:type="paragraph" w:styleId="3">
    <w:name w:val="toc 3"/>
    <w:basedOn w:val="1"/>
    <w:next w:val="1"/>
    <w:qFormat/>
    <w:uiPriority w:val="0"/>
    <w:pPr>
      <w:keepNext w:val="0"/>
      <w:keepLines w:val="0"/>
      <w:widowControl w:val="0"/>
      <w:suppressLineNumbers w:val="0"/>
      <w:spacing w:before="0" w:beforeAutospacing="0" w:after="0" w:afterAutospacing="0"/>
      <w:ind w:left="840" w:leftChars="400" w:right="0"/>
      <w:jc w:val="both"/>
    </w:pPr>
    <w:rPr>
      <w:rFonts w:hint="default" w:ascii="Times New Roman" w:hAnsi="Times New Roman" w:eastAsia="宋体" w:cs="Times New Roman"/>
      <w:kern w:val="2"/>
      <w:sz w:val="21"/>
      <w:szCs w:val="22"/>
      <w:lang w:val="en-US" w:eastAsia="zh-CN" w:bidi="ar"/>
    </w:rPr>
  </w:style>
  <w:style w:type="paragraph" w:styleId="4">
    <w:name w:val="footer"/>
    <w:basedOn w:val="1"/>
    <w:link w:val="10"/>
    <w:qFormat/>
    <w:uiPriority w:val="0"/>
    <w:pPr>
      <w:tabs>
        <w:tab w:val="center" w:pos="4153"/>
        <w:tab w:val="right" w:pos="8306"/>
      </w:tabs>
      <w:snapToGrid w:val="0"/>
      <w:jc w:val="left"/>
    </w:pPr>
    <w:rPr>
      <w:sz w:val="18"/>
    </w:rPr>
  </w:style>
  <w:style w:type="paragraph" w:styleId="5">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Char"/>
    <w:basedOn w:val="9"/>
    <w:link w:val="4"/>
    <w:qFormat/>
    <w:uiPriority w:val="0"/>
    <w:rPr>
      <w:rFonts w:hint="default" w:ascii="Calibri" w:hAnsi="Calibri" w:cs="Calibri"/>
      <w:kern w:val="2"/>
      <w:sz w:val="18"/>
      <w:szCs w:val="24"/>
    </w:rPr>
  </w:style>
  <w:style w:type="character" w:customStyle="1" w:styleId="11">
    <w:name w:val="页眉 Char"/>
    <w:basedOn w:val="9"/>
    <w:link w:val="5"/>
    <w:qFormat/>
    <w:uiPriority w:val="0"/>
    <w:rPr>
      <w:rFonts w:hint="default" w:ascii="Calibri" w:hAnsi="Calibri" w:cs="Calibr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3601</Words>
  <Characters>3638</Characters>
  <Lines>0</Lines>
  <Paragraphs>0</Paragraphs>
  <TotalTime>0</TotalTime>
  <ScaleCrop>false</ScaleCrop>
  <LinksUpToDate>false</LinksUpToDate>
  <CharactersWithSpaces>3667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2025-12-03T03:15:00Z</dcterms:created>
  <dc:creator>Administrator</dc:creator>
  <cp:lastModifiedBy>柳丁</cp:lastModifiedBy>
  <cp:lastPrinted>2025-12-03T03:23:00Z</cp:lastPrinted>
  <dcterms:modified xsi:type="dcterms:W3CDTF">2026-01-26T05:00:09Z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F966BE7CDF094FEBB30BB9D5A060B236_13</vt:lpwstr>
  </property>
</Properties>
</file>