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eastAsia="仿宋_GB2312" w:cs="隶书"/>
          <w:color w:val="000000"/>
          <w:kern w:val="0"/>
          <w:sz w:val="32"/>
          <w:szCs w:val="32"/>
          <w:lang w:val="en"/>
        </w:rPr>
      </w:pPr>
      <w:r>
        <w:rPr>
          <w:rFonts w:ascii="仿宋_GB2312" w:eastAsia="仿宋_GB2312" w:cs="隶书"/>
          <w:color w:val="000000"/>
          <w:kern w:val="0"/>
          <w:sz w:val="32"/>
          <w:szCs w:val="32"/>
          <w:lang w:val="en"/>
        </w:rPr>
        <w:t>HNPR-2025-18005</w:t>
      </w:r>
    </w:p>
    <w:p>
      <w:pPr>
        <w:autoSpaceDE w:val="0"/>
        <w:autoSpaceDN w:val="0"/>
        <w:adjustRightInd w:val="0"/>
        <w:jc w:val="center"/>
        <w:rPr>
          <w:rFonts w:ascii="仿宋_GB2312" w:eastAsia="仿宋_GB2312" w:cs="隶书"/>
          <w:color w:val="000000"/>
          <w:kern w:val="0"/>
          <w:sz w:val="32"/>
          <w:szCs w:val="32"/>
        </w:rPr>
      </w:pPr>
    </w:p>
    <w:p>
      <w:pPr>
        <w:autoSpaceDE w:val="0"/>
        <w:autoSpaceDN w:val="0"/>
        <w:adjustRightInd w:val="0"/>
        <w:jc w:val="center"/>
        <w:rPr>
          <w:rFonts w:ascii="仿宋_GB2312" w:eastAsia="仿宋_GB2312" w:cs="隶书"/>
          <w:color w:val="000000"/>
          <w:kern w:val="0"/>
          <w:sz w:val="32"/>
          <w:szCs w:val="32"/>
        </w:rPr>
      </w:pPr>
    </w:p>
    <w:p>
      <w:pPr>
        <w:autoSpaceDE w:val="0"/>
        <w:autoSpaceDN w:val="0"/>
        <w:adjustRightInd w:val="0"/>
        <w:jc w:val="center"/>
        <w:rPr>
          <w:rFonts w:ascii="仿宋_GB2312" w:eastAsia="仿宋_GB2312" w:cs="隶书"/>
          <w:color w:val="000000"/>
          <w:kern w:val="0"/>
          <w:sz w:val="32"/>
          <w:szCs w:val="32"/>
        </w:rPr>
      </w:pPr>
    </w:p>
    <w:p>
      <w:pPr>
        <w:autoSpaceDE w:val="0"/>
        <w:autoSpaceDN w:val="0"/>
        <w:adjustRightInd w:val="0"/>
        <w:jc w:val="center"/>
        <w:rPr>
          <w:rFonts w:ascii="仿宋_GB2312" w:eastAsia="仿宋_GB2312" w:cs="隶书"/>
          <w:color w:val="000000"/>
          <w:kern w:val="0"/>
          <w:sz w:val="32"/>
          <w:szCs w:val="32"/>
        </w:rPr>
      </w:pPr>
    </w:p>
    <w:p>
      <w:pPr>
        <w:autoSpaceDE w:val="0"/>
        <w:autoSpaceDN w:val="0"/>
        <w:adjustRightInd w:val="0"/>
        <w:jc w:val="center"/>
        <w:rPr>
          <w:rFonts w:ascii="仿宋_GB2312" w:eastAsia="仿宋_GB2312" w:cs="隶书"/>
          <w:color w:val="000000"/>
          <w:kern w:val="0"/>
          <w:sz w:val="32"/>
          <w:szCs w:val="32"/>
        </w:rPr>
      </w:pPr>
    </w:p>
    <w:p>
      <w:pPr>
        <w:autoSpaceDE w:val="0"/>
        <w:autoSpaceDN w:val="0"/>
        <w:adjustRightInd w:val="0"/>
        <w:jc w:val="center"/>
        <w:rPr>
          <w:rFonts w:ascii="仿宋_GB2312" w:eastAsia="仿宋_GB2312" w:cs="隶书"/>
          <w:color w:val="000000"/>
          <w:kern w:val="0"/>
          <w:sz w:val="32"/>
          <w:szCs w:val="32"/>
        </w:rPr>
      </w:pPr>
    </w:p>
    <w:p>
      <w:pPr>
        <w:autoSpaceDE w:val="0"/>
        <w:autoSpaceDN w:val="0"/>
        <w:adjustRightInd w:val="0"/>
        <w:jc w:val="center"/>
        <w:rPr>
          <w:rFonts w:ascii="仿宋_GB2312" w:eastAsia="仿宋_GB2312" w:cs="隶书"/>
          <w:color w:val="000000"/>
          <w:kern w:val="0"/>
          <w:sz w:val="32"/>
          <w:szCs w:val="32"/>
        </w:rPr>
      </w:pPr>
    </w:p>
    <w:p>
      <w:pPr>
        <w:autoSpaceDE w:val="0"/>
        <w:autoSpaceDN w:val="0"/>
        <w:adjustRightInd w:val="0"/>
        <w:jc w:val="center"/>
        <w:rPr>
          <w:rFonts w:ascii="仿宋_GB2312" w:eastAsia="仿宋_GB2312" w:cs="隶书"/>
          <w:color w:val="000000"/>
          <w:kern w:val="0"/>
          <w:sz w:val="32"/>
          <w:szCs w:val="32"/>
        </w:rPr>
      </w:pPr>
    </w:p>
    <w:p>
      <w:pPr>
        <w:autoSpaceDE w:val="0"/>
        <w:autoSpaceDN w:val="0"/>
        <w:adjustRightInd w:val="0"/>
        <w:jc w:val="center"/>
        <w:rPr>
          <w:rFonts w:ascii="仿宋_GB2312" w:eastAsia="仿宋_GB2312" w:cs="隶书"/>
          <w:color w:val="000000"/>
          <w:kern w:val="0"/>
          <w:sz w:val="32"/>
          <w:szCs w:val="32"/>
        </w:rPr>
      </w:pPr>
    </w:p>
    <w:p>
      <w:pPr>
        <w:autoSpaceDE w:val="0"/>
        <w:autoSpaceDN w:val="0"/>
        <w:adjustRightInd w:val="0"/>
        <w:jc w:val="center"/>
        <w:rPr>
          <w:rFonts w:ascii="仿宋_GB2312" w:eastAsia="仿宋_GB2312" w:cs="隶书"/>
          <w:color w:val="000000"/>
          <w:kern w:val="0"/>
          <w:sz w:val="32"/>
          <w:szCs w:val="32"/>
        </w:rPr>
      </w:pPr>
    </w:p>
    <w:p>
      <w:pPr>
        <w:autoSpaceDE/>
        <w:autoSpaceDN/>
        <w:adjustRightInd/>
        <w:spacing w:line="560" w:lineRule="exact"/>
        <w:jc w:val="center"/>
        <w:rPr>
          <w:rFonts w:ascii="仿宋_GB2312" w:eastAsia="仿宋_GB2312" w:cs="隶书"/>
          <w:color w:val="000000"/>
          <w:kern w:val="0"/>
          <w:sz w:val="32"/>
          <w:szCs w:val="32"/>
        </w:rPr>
      </w:pPr>
      <w:r>
        <w:rPr>
          <w:rFonts w:hint="eastAsia" w:ascii="仿宋_GB2312" w:eastAsia="仿宋_GB2312" w:cs="仿宋_GB2312"/>
          <w:color w:val="000000"/>
          <w:kern w:val="0"/>
          <w:sz w:val="32"/>
          <w:szCs w:val="32"/>
        </w:rPr>
        <w:t>湘</w:t>
      </w:r>
      <w:r>
        <w:rPr>
          <w:rFonts w:eastAsia="仿宋_GB2312"/>
          <w:color w:val="000000"/>
          <w:kern w:val="0"/>
          <w:sz w:val="32"/>
          <w:szCs w:val="32"/>
        </w:rPr>
        <w:t>商口物〔2025〕</w:t>
      </w:r>
      <w:r>
        <w:rPr>
          <w:rFonts w:hint="eastAsia" w:eastAsia="仿宋_GB2312"/>
          <w:color w:val="000000"/>
          <w:kern w:val="0"/>
          <w:sz w:val="32"/>
          <w:szCs w:val="32"/>
          <w:lang w:val="en-US" w:eastAsia="zh-CN"/>
        </w:rPr>
        <w:t>2</w:t>
      </w:r>
      <w:r>
        <w:rPr>
          <w:rFonts w:eastAsia="仿宋_GB2312"/>
          <w:color w:val="000000"/>
          <w:kern w:val="0"/>
          <w:sz w:val="32"/>
          <w:szCs w:val="32"/>
        </w:rPr>
        <w:t>号</w:t>
      </w:r>
    </w:p>
    <w:p>
      <w:pPr>
        <w:autoSpaceDE w:val="0"/>
        <w:autoSpaceDN w:val="0"/>
        <w:adjustRightInd w:val="0"/>
        <w:spacing w:line="240" w:lineRule="exact"/>
        <w:jc w:val="center"/>
        <w:rPr>
          <w:rFonts w:ascii="方正小标宋简体" w:eastAsia="方正小标宋简体" w:cs="宋体"/>
          <w:color w:val="000000"/>
          <w:kern w:val="0"/>
          <w:sz w:val="44"/>
          <w:szCs w:val="44"/>
        </w:rPr>
      </w:pPr>
    </w:p>
    <w:p>
      <w:pPr>
        <w:spacing w:line="560" w:lineRule="exact"/>
        <w:jc w:val="center"/>
        <w:rPr>
          <w:rFonts w:eastAsia="方正小标宋简体"/>
          <w:color w:val="000000"/>
          <w:kern w:val="0"/>
          <w:sz w:val="44"/>
          <w:szCs w:val="44"/>
        </w:rPr>
      </w:pPr>
    </w:p>
    <w:p>
      <w:pPr>
        <w:spacing w:line="560" w:lineRule="exact"/>
        <w:jc w:val="center"/>
        <w:rPr>
          <w:rFonts w:eastAsia="方正小标宋简体"/>
          <w:color w:val="000000"/>
          <w:kern w:val="0"/>
          <w:sz w:val="40"/>
          <w:szCs w:val="40"/>
        </w:rPr>
      </w:pPr>
      <w:r>
        <w:rPr>
          <w:rFonts w:eastAsia="方正小标宋简体"/>
          <w:color w:val="000000"/>
          <w:kern w:val="0"/>
          <w:sz w:val="40"/>
          <w:szCs w:val="40"/>
        </w:rPr>
        <w:t>湖南省商务厅关于印发《湖南香港</w:t>
      </w:r>
      <w:r>
        <w:rPr>
          <w:rFonts w:hint="eastAsia" w:eastAsia="方正小标宋简体"/>
          <w:color w:val="000000"/>
          <w:kern w:val="0"/>
          <w:sz w:val="40"/>
          <w:szCs w:val="40"/>
        </w:rPr>
        <w:t>货运</w:t>
      </w:r>
      <w:r>
        <w:rPr>
          <w:rFonts w:eastAsia="方正小标宋简体"/>
          <w:color w:val="000000"/>
          <w:kern w:val="0"/>
          <w:sz w:val="40"/>
          <w:szCs w:val="40"/>
        </w:rPr>
        <w:t>直通车</w:t>
      </w:r>
    </w:p>
    <w:p>
      <w:pPr>
        <w:spacing w:line="560" w:lineRule="exact"/>
        <w:jc w:val="center"/>
        <w:rPr>
          <w:rFonts w:eastAsia="方正小标宋简体"/>
          <w:color w:val="000000"/>
          <w:kern w:val="0"/>
          <w:sz w:val="44"/>
          <w:szCs w:val="44"/>
        </w:rPr>
      </w:pPr>
      <w:r>
        <w:rPr>
          <w:rFonts w:eastAsia="方正小标宋简体"/>
          <w:color w:val="000000"/>
          <w:kern w:val="0"/>
          <w:sz w:val="40"/>
          <w:szCs w:val="40"/>
        </w:rPr>
        <w:t>指标管理办法（试行）》的通知</w:t>
      </w:r>
    </w:p>
    <w:p>
      <w:pPr>
        <w:spacing w:line="560" w:lineRule="exact"/>
        <w:rPr>
          <w:rFonts w:eastAsia="仿宋_GB2312"/>
          <w:color w:val="000000"/>
          <w:kern w:val="0"/>
          <w:sz w:val="32"/>
          <w:szCs w:val="32"/>
        </w:rPr>
      </w:pPr>
    </w:p>
    <w:p>
      <w:pPr>
        <w:spacing w:line="560" w:lineRule="exact"/>
        <w:rPr>
          <w:rFonts w:eastAsia="仿宋_GB2312"/>
          <w:color w:val="000000"/>
          <w:kern w:val="0"/>
          <w:sz w:val="32"/>
          <w:szCs w:val="32"/>
        </w:rPr>
      </w:pPr>
      <w:r>
        <w:rPr>
          <w:rFonts w:eastAsia="仿宋_GB2312"/>
          <w:color w:val="000000"/>
          <w:kern w:val="0"/>
          <w:sz w:val="32"/>
          <w:szCs w:val="32"/>
        </w:rPr>
        <w:t>各市州商务</w:t>
      </w:r>
      <w:r>
        <w:rPr>
          <w:rFonts w:hint="eastAsia" w:eastAsia="仿宋_GB2312"/>
          <w:color w:val="000000"/>
          <w:kern w:val="0"/>
          <w:sz w:val="32"/>
          <w:szCs w:val="32"/>
        </w:rPr>
        <w:t>（口岸）</w:t>
      </w:r>
      <w:r>
        <w:rPr>
          <w:rFonts w:eastAsia="仿宋_GB2312"/>
          <w:color w:val="000000"/>
          <w:kern w:val="0"/>
          <w:sz w:val="32"/>
          <w:szCs w:val="32"/>
        </w:rPr>
        <w:t>主管部门：</w:t>
      </w:r>
    </w:p>
    <w:p>
      <w:pPr>
        <w:spacing w:line="560" w:lineRule="exact"/>
        <w:ind w:firstLine="720"/>
        <w:rPr>
          <w:rFonts w:eastAsia="仿宋_GB2312"/>
          <w:color w:val="000000"/>
          <w:kern w:val="0"/>
          <w:sz w:val="32"/>
          <w:szCs w:val="32"/>
        </w:rPr>
      </w:pPr>
      <w:r>
        <w:rPr>
          <w:rFonts w:hint="eastAsia" w:eastAsia="仿宋_GB2312"/>
          <w:color w:val="000000"/>
          <w:kern w:val="0"/>
          <w:sz w:val="32"/>
          <w:szCs w:val="32"/>
        </w:rPr>
        <w:t>现将《湖南香港货运直通车指标管理办法（试行）》印发给你们，请结合实际认真贯彻执行。</w:t>
      </w:r>
    </w:p>
    <w:p>
      <w:pPr>
        <w:spacing w:line="560" w:lineRule="exact"/>
        <w:ind w:firstLine="720"/>
        <w:rPr>
          <w:rFonts w:eastAsia="仿宋_GB2312"/>
          <w:color w:val="000000"/>
          <w:kern w:val="0"/>
          <w:sz w:val="32"/>
          <w:szCs w:val="32"/>
        </w:rPr>
      </w:pPr>
    </w:p>
    <w:p>
      <w:pPr>
        <w:spacing w:line="560" w:lineRule="exact"/>
        <w:ind w:firstLine="720"/>
        <w:rPr>
          <w:rFonts w:eastAsia="仿宋_GB2312"/>
          <w:color w:val="000000"/>
          <w:kern w:val="0"/>
          <w:sz w:val="32"/>
          <w:szCs w:val="32"/>
        </w:rPr>
      </w:pPr>
    </w:p>
    <w:p>
      <w:pPr>
        <w:spacing w:line="560" w:lineRule="exact"/>
        <w:ind w:firstLine="4934" w:firstLineChars="1542"/>
        <w:rPr>
          <w:rFonts w:eastAsia="仿宋_GB2312"/>
          <w:color w:val="000000"/>
          <w:kern w:val="0"/>
          <w:sz w:val="32"/>
          <w:szCs w:val="32"/>
        </w:rPr>
      </w:pPr>
      <w:r>
        <w:rPr>
          <w:rFonts w:hint="eastAsia" w:eastAsia="仿宋_GB2312"/>
          <w:color w:val="000000"/>
          <w:kern w:val="0"/>
          <w:sz w:val="32"/>
          <w:szCs w:val="32"/>
        </w:rPr>
        <w:t>湖南省商务厅</w:t>
      </w:r>
    </w:p>
    <w:p>
      <w:pPr>
        <w:spacing w:line="560" w:lineRule="exact"/>
        <w:ind w:firstLine="4614" w:firstLineChars="1442"/>
        <w:rPr>
          <w:rFonts w:eastAsia="仿宋_GB2312"/>
          <w:color w:val="000000"/>
          <w:kern w:val="0"/>
          <w:sz w:val="32"/>
          <w:szCs w:val="32"/>
        </w:rPr>
      </w:pPr>
      <w:r>
        <w:rPr>
          <w:rFonts w:hint="eastAsia" w:eastAsia="仿宋_GB2312"/>
          <w:color w:val="000000"/>
          <w:kern w:val="0"/>
          <w:sz w:val="32"/>
          <w:szCs w:val="32"/>
        </w:rPr>
        <w:t>2025年</w:t>
      </w:r>
      <w:r>
        <w:rPr>
          <w:rFonts w:hint="eastAsia" w:eastAsia="仿宋_GB2312"/>
          <w:color w:val="000000"/>
          <w:kern w:val="0"/>
          <w:sz w:val="32"/>
          <w:szCs w:val="32"/>
          <w:lang w:val="en-US" w:eastAsia="zh-CN"/>
        </w:rPr>
        <w:t>12</w:t>
      </w:r>
      <w:r>
        <w:rPr>
          <w:rFonts w:hint="eastAsia" w:eastAsia="仿宋_GB2312"/>
          <w:color w:val="000000"/>
          <w:kern w:val="0"/>
          <w:sz w:val="32"/>
          <w:szCs w:val="32"/>
        </w:rPr>
        <w:t>月</w:t>
      </w:r>
      <w:r>
        <w:rPr>
          <w:rFonts w:hint="eastAsia" w:eastAsia="仿宋_GB2312"/>
          <w:color w:val="000000"/>
          <w:kern w:val="0"/>
          <w:sz w:val="32"/>
          <w:szCs w:val="32"/>
          <w:lang w:val="en-US" w:eastAsia="zh-CN"/>
        </w:rPr>
        <w:t>29</w:t>
      </w:r>
      <w:r>
        <w:rPr>
          <w:rFonts w:hint="eastAsia" w:eastAsia="仿宋_GB2312"/>
          <w:color w:val="000000"/>
          <w:kern w:val="0"/>
          <w:sz w:val="32"/>
          <w:szCs w:val="32"/>
        </w:rPr>
        <w:t>日</w:t>
      </w:r>
    </w:p>
    <w:p>
      <w:pPr>
        <w:spacing w:line="560" w:lineRule="exact"/>
        <w:ind w:firstLine="720"/>
        <w:rPr>
          <w:rFonts w:eastAsia="仿宋_GB2312"/>
          <w:color w:val="000000"/>
          <w:kern w:val="0"/>
          <w:sz w:val="32"/>
          <w:szCs w:val="32"/>
        </w:rPr>
      </w:pPr>
      <w:r>
        <w:rPr>
          <w:rFonts w:hint="eastAsia" w:eastAsia="仿宋_GB2312"/>
          <w:color w:val="000000"/>
          <w:kern w:val="0"/>
          <w:sz w:val="32"/>
          <w:szCs w:val="32"/>
        </w:rPr>
        <w:t>（此件主动公开）</w:t>
      </w:r>
    </w:p>
    <w:p>
      <w:pPr>
        <w:rPr>
          <w:rFonts w:eastAsia="仿宋_GB2312"/>
          <w:color w:val="000000"/>
          <w:kern w:val="0"/>
          <w:sz w:val="32"/>
          <w:szCs w:val="32"/>
        </w:rPr>
        <w:sectPr>
          <w:footerReference r:id="rId3" w:type="default"/>
          <w:pgSz w:w="11905" w:h="16838"/>
          <w:pgMar w:top="2041" w:right="1474" w:bottom="1757" w:left="1587" w:header="720" w:footer="720" w:gutter="0"/>
          <w:pgNumType w:fmt="numberInDash"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eastAsia="方正小标宋简体"/>
          <w:color w:val="000000"/>
          <w:kern w:val="0"/>
          <w:sz w:val="44"/>
          <w:szCs w:val="44"/>
        </w:rPr>
      </w:pPr>
      <w:r>
        <w:rPr>
          <w:rFonts w:hint="eastAsia" w:eastAsia="方正小标宋简体"/>
          <w:color w:val="000000"/>
          <w:kern w:val="0"/>
          <w:sz w:val="44"/>
          <w:szCs w:val="44"/>
        </w:rPr>
        <w:t>湖南香港货运直通车指标管理办法（试行）</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eastAsia="仿宋_GB2312"/>
          <w:color w:val="000000"/>
          <w:kern w:val="0"/>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eastAsia="黑体"/>
          <w:color w:val="000000"/>
          <w:kern w:val="0"/>
          <w:sz w:val="32"/>
          <w:szCs w:val="32"/>
        </w:rPr>
      </w:pPr>
      <w:r>
        <w:rPr>
          <w:rFonts w:eastAsia="黑体"/>
          <w:color w:val="000000"/>
          <w:kern w:val="0"/>
          <w:sz w:val="32"/>
          <w:szCs w:val="32"/>
        </w:rPr>
        <w:t>第一章总则</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第一条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为落实湖南省人民政府关于加强湖南香港货运直通车指标（以下简称直通车指标）管理，提高指标使用效益及为湖南省产业、企业服务能力的要求，确保我省香港货运直通车指标管理与广东省有关规定有效衔接，制定本办法。</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第二条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本办法适用于广东省分配给湖南省的香港货运直通车车辆指标管理。对于使用湖南省指标，经广东省陆路口岸出入境，直接往返于内地与香港之间的从事直通香港道路货物运输（以下简称跨境运输）的企业、车辆、驾驶员，适用本办法管理。</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第三条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从事跨境运输经营的企业及驾驶员应当遵守国家及运营所在地相关法律法规，诚实信用、公平竞争，严禁通过跨境运输扰乱运输市场从事非法出入境、走私、携带违禁物品等违法活动。</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第四条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湖南省商务厅（省政府口岸办）负责香港直通车指标管理及协调。各市级商务主管部门（口岸主管部门）负责核实指标申请企业使用需求及资料，并向湖南省商务厅（省政府口岸办）提出直通车指标申请。</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第五条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鼓励跨境运输企业实行规模化、集约化经营，发展安全、环保、节能运输。</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930" w:firstLineChars="300"/>
        <w:jc w:val="center"/>
        <w:textAlignment w:val="auto"/>
        <w:rPr>
          <w:rFonts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第二章指标申请管理</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第六条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申请湖南香港直通车指标的企业需为在湘开展业务，确有跨境运输实际需求的企业。</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第七条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企业需要在湖南省区域内使用香港直通车运输、取得香港直通车入境指标使用权的，应当按照本办法规定和程序向指标管理机构提出申请，按以下程序办理：</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（一）向所在市级商务主管部门（口岸主管部门）申请，由市级商务主管部门（口岸主管部门）核实使用需求及报批资料后，报湖南省商务厅（省政府口岸办）复审。</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（二）湖南省商务厅（省政府口岸办）收到市级商务主管部门（口岸主管部门）提交的资料后完成复审。根据直通车指标统筹情况，在全省失效指标中予以调剂安排。</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（三）根据指标安排情况，由湖南省商务厅（省政府口岸办）协调广东省香港直通车牵头管理单位办理指标登记手续。</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第八条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企业取得的指标应当自营，不得转让、出租、出借，因企业合并、分立等法定情形确需变更指标使用主体的，需报湖南省商务厅（省政府口岸办）批准同意，由湖南省商务厅（省政府口岸办）指导企业对接广东省交通运输厅办理指标变更手续。</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第九条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为便于开展指标管理，将指标分为激活、未激活、失效等状态。</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指标已分配至企业，企业在规定期限（</w:t>
      </w:r>
      <w:r>
        <w:rPr>
          <w:rFonts w:hint="default" w:ascii="Times New Roman" w:hAnsi="Times New Roman" w:eastAsia="宋体" w:cs="Times New Roman"/>
          <w:color w:val="000000"/>
          <w:kern w:val="0"/>
          <w:sz w:val="31"/>
          <w:szCs w:val="31"/>
          <w:lang w:val="en-US" w:eastAsia="zh-CN" w:bidi="ar"/>
        </w:rPr>
        <w:t>90</w:t>
      </w:r>
      <w:r>
        <w:rPr>
          <w:rFonts w:ascii="仿宋_GB2312" w:hAnsi="仿宋_GB2312" w:eastAsia="仿宋_GB2312" w:cs="仿宋_GB2312"/>
          <w:color w:val="000000"/>
          <w:kern w:val="0"/>
          <w:sz w:val="31"/>
          <w:szCs w:val="31"/>
          <w:lang w:val="en-US" w:eastAsia="zh-CN" w:bidi="ar"/>
        </w:rPr>
        <w:t>天）内，办理完成车辆上牌登记手续、并向湖南省商务厅（省政府口岸办）备案开展运营，对应指标为激活状态。</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指标已分配至企业，企业在规定期限内暂未完成车辆上牌登记手续，对应指标为未激活状态。</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指标已分配至企业，企业超过规定期限仍未办理车辆上牌手续，或上牌后超过规定期限（</w:t>
      </w:r>
      <w:r>
        <w:rPr>
          <w:rFonts w:hint="default" w:ascii="Times New Roman" w:hAnsi="Times New Roman" w:eastAsia="宋体" w:cs="Times New Roman"/>
          <w:color w:val="000000"/>
          <w:kern w:val="0"/>
          <w:sz w:val="31"/>
          <w:szCs w:val="31"/>
          <w:lang w:val="en-US" w:eastAsia="zh-CN" w:bidi="ar"/>
        </w:rPr>
        <w:t>180</w:t>
      </w:r>
      <w:r>
        <w:rPr>
          <w:rFonts w:ascii="仿宋_GB2312" w:hAnsi="仿宋_GB2312" w:eastAsia="仿宋_GB2312" w:cs="仿宋_GB2312"/>
          <w:color w:val="000000"/>
          <w:kern w:val="0"/>
          <w:sz w:val="31"/>
          <w:szCs w:val="31"/>
          <w:lang w:val="en-US" w:eastAsia="zh-CN" w:bidi="ar"/>
        </w:rPr>
        <w:t>天）仍未经营（在湖南省产生通关记录），对应指标为失效状态。</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第十条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直通车指标按以下程序管理：</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（一）企业取得车辆指标并办理完成上牌登记手续，需向湖南省商务厅（省政府口岸办）备案，备案后指标处于激活状态。指标激活后，企业每</w:t>
      </w:r>
      <w:r>
        <w:rPr>
          <w:rFonts w:hint="default" w:ascii="Times New Roman" w:hAnsi="Times New Roman" w:eastAsia="宋体" w:cs="Times New Roman"/>
          <w:color w:val="000000"/>
          <w:kern w:val="0"/>
          <w:sz w:val="31"/>
          <w:szCs w:val="31"/>
          <w:lang w:val="en-US" w:eastAsia="zh-CN" w:bidi="ar"/>
        </w:rPr>
        <w:t>180</w:t>
      </w:r>
      <w:r>
        <w:rPr>
          <w:rFonts w:ascii="仿宋_GB2312" w:hAnsi="仿宋_GB2312" w:eastAsia="仿宋_GB2312" w:cs="仿宋_GB2312"/>
          <w:color w:val="000000"/>
          <w:kern w:val="0"/>
          <w:sz w:val="31"/>
          <w:szCs w:val="31"/>
          <w:lang w:val="en-US" w:eastAsia="zh-CN" w:bidi="ar"/>
        </w:rPr>
        <w:t>天需在湖南至少产生</w:t>
      </w:r>
      <w:r>
        <w:rPr>
          <w:rFonts w:hint="default" w:ascii="Times New Roman" w:hAnsi="Times New Roman" w:eastAsia="宋体" w:cs="Times New Roman"/>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次通关记录（在湘通关记录指跨境运输车辆运载货物进出口数据留在长沙海关的记录）；每年需向湖南省商务厅（省政府口岸办）备案经营情况。企业使用指标在激活状态下，</w:t>
      </w:r>
      <w:r>
        <w:rPr>
          <w:rFonts w:hint="default" w:ascii="Times New Roman" w:hAnsi="Times New Roman" w:eastAsia="宋体" w:cs="Times New Roman"/>
          <w:color w:val="000000"/>
          <w:kern w:val="0"/>
          <w:sz w:val="31"/>
          <w:szCs w:val="31"/>
          <w:lang w:val="en-US" w:eastAsia="zh-CN" w:bidi="ar"/>
        </w:rPr>
        <w:t>180</w:t>
      </w:r>
      <w:r>
        <w:rPr>
          <w:rFonts w:ascii="仿宋_GB2312" w:hAnsi="仿宋_GB2312" w:eastAsia="仿宋_GB2312" w:cs="仿宋_GB2312"/>
          <w:color w:val="000000"/>
          <w:kern w:val="0"/>
          <w:sz w:val="31"/>
          <w:szCs w:val="31"/>
          <w:lang w:val="en-US" w:eastAsia="zh-CN" w:bidi="ar"/>
        </w:rPr>
        <w:t>天内不能产生本省通关记录的，可向湖南省商务厅（省政府口岸办）申请延期一年，湖南省商务厅（省政府口岸办）商所在地商务主管部门（口岸主管部门）根据企业具体情况予以批复。若企业不需要在湖南省内使用直通车运输，仅需要直通车跨粤港作业，湖南省商务厅（省政府口岸办）可推荐企业到广东省申请注册跨境运输指标。无正当理由未实现通关记录、未申请延期或未按要求备案经营情况的，由湖南省商务厅（省政府口岸办）在湖南国际贸易</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单一窗口</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公示</w:t>
      </w:r>
      <w:r>
        <w:rPr>
          <w:rFonts w:hint="default" w:ascii="Times New Roman" w:hAnsi="Times New Roman" w:eastAsia="宋体" w:cs="Times New Roman"/>
          <w:color w:val="000000"/>
          <w:kern w:val="0"/>
          <w:sz w:val="31"/>
          <w:szCs w:val="31"/>
          <w:lang w:val="en-US" w:eastAsia="zh-CN" w:bidi="ar"/>
        </w:rPr>
        <w:t>30</w:t>
      </w:r>
      <w:r>
        <w:rPr>
          <w:rFonts w:ascii="仿宋_GB2312" w:hAnsi="仿宋_GB2312" w:eastAsia="仿宋_GB2312" w:cs="仿宋_GB2312"/>
          <w:color w:val="000000"/>
          <w:kern w:val="0"/>
          <w:sz w:val="31"/>
          <w:szCs w:val="31"/>
          <w:lang w:val="en-US" w:eastAsia="zh-CN" w:bidi="ar"/>
        </w:rPr>
        <w:t>个工作日后，将指标列为失效状态。</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38" w:firstLineChars="206"/>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二）企业取得车辆指标后，指标处于未激活状态。企业应依照有关规定，向所在地交通运输部门申办《道路运输经营许可证》和车辆《道路运输证》，并前往粤、港交通、公安、海关、边检等部门办理相关手续。未激活状态指标超过</w:t>
      </w:r>
      <w:r>
        <w:rPr>
          <w:rFonts w:hint="default" w:ascii="Times New Roman" w:hAnsi="Times New Roman" w:eastAsia="宋体" w:cs="Times New Roman"/>
          <w:color w:val="000000"/>
          <w:kern w:val="0"/>
          <w:sz w:val="31"/>
          <w:szCs w:val="31"/>
          <w:lang w:val="en-US" w:eastAsia="zh-CN" w:bidi="ar"/>
        </w:rPr>
        <w:t>90</w:t>
      </w:r>
      <w:r>
        <w:rPr>
          <w:rFonts w:ascii="仿宋_GB2312" w:hAnsi="仿宋_GB2312" w:eastAsia="仿宋_GB2312" w:cs="仿宋_GB2312"/>
          <w:color w:val="000000"/>
          <w:kern w:val="0"/>
          <w:sz w:val="31"/>
          <w:szCs w:val="31"/>
          <w:lang w:val="en-US" w:eastAsia="zh-CN" w:bidi="ar"/>
        </w:rPr>
        <w:t>天，无正当理由未完成广东方面车辆上牌登记手续的，视为企业主动放弃指标，由湖南省商务厅（省政府口岸办）在湖南国际贸易</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单一窗口</w:t>
      </w:r>
      <w:r>
        <w:rPr>
          <w:rFonts w:hint="default" w:ascii="Times New Roman" w:hAnsi="Times New Roman" w:eastAsia="宋体" w:cs="Times New Roman"/>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公示</w:t>
      </w:r>
      <w:r>
        <w:rPr>
          <w:rFonts w:hint="default" w:ascii="Times New Roman" w:hAnsi="Times New Roman" w:eastAsia="宋体" w:cs="Times New Roman"/>
          <w:color w:val="000000"/>
          <w:kern w:val="0"/>
          <w:sz w:val="31"/>
          <w:szCs w:val="31"/>
          <w:lang w:val="en-US" w:eastAsia="zh-CN" w:bidi="ar"/>
        </w:rPr>
        <w:t>30</w:t>
      </w:r>
      <w:r>
        <w:rPr>
          <w:rFonts w:ascii="仿宋_GB2312" w:hAnsi="仿宋_GB2312" w:eastAsia="仿宋_GB2312" w:cs="仿宋_GB2312"/>
          <w:color w:val="000000"/>
          <w:kern w:val="0"/>
          <w:sz w:val="31"/>
          <w:szCs w:val="31"/>
          <w:lang w:val="en-US" w:eastAsia="zh-CN" w:bidi="ar"/>
        </w:rPr>
        <w:t>个工作日后，将指标列为失效状态。</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20" w:firstLineChars="2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第十一条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失效状态车辆公示期满后，湖南省商务厅（省政府口岸办）将取消该指标使用权，并将指标纳入失效状态，失效指标可用于后续调剂分配。企业若对失效状态有异议，可在公示期内向湖南省商务厅（省政府口岸办）提交书面申诉材料，逾期未申诉或申诉未获批准的，指标失效状态维持不变。失效状态指标所属企业在收到湖南省商务厅（省政府口岸办）要求调整指标归属权通知后，应当自通知日起</w:t>
      </w:r>
      <w:r>
        <w:rPr>
          <w:rFonts w:hint="default" w:ascii="Times New Roman" w:hAnsi="Times New Roman" w:eastAsia="宋体" w:cs="Times New Roman"/>
          <w:color w:val="000000"/>
          <w:kern w:val="0"/>
          <w:sz w:val="31"/>
          <w:szCs w:val="31"/>
          <w:lang w:val="en-US" w:eastAsia="zh-CN" w:bidi="ar"/>
        </w:rPr>
        <w:t>14</w:t>
      </w:r>
      <w:r>
        <w:rPr>
          <w:rFonts w:ascii="仿宋_GB2312" w:hAnsi="仿宋_GB2312" w:eastAsia="仿宋_GB2312" w:cs="仿宋_GB2312"/>
          <w:color w:val="000000"/>
          <w:kern w:val="0"/>
          <w:sz w:val="31"/>
          <w:szCs w:val="31"/>
          <w:lang w:val="en-US" w:eastAsia="zh-CN" w:bidi="ar"/>
        </w:rPr>
        <w:t>个工作日内，向广东方面办理车辆及驾驶员相关运输牌证注销手续。逾期不办理注销的，湖南省商务厅（省政府口岸办）将致函广东省香港直通车牵头管理单位协调广东省公安部门予以公告注销，并将注销结果通报海关、边检部门办理备案注销手续。</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930" w:firstLineChars="300"/>
        <w:jc w:val="left"/>
        <w:textAlignment w:val="auto"/>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第十二条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企业需终止经营的，应当在终止经营之日</w:t>
      </w:r>
      <w:r>
        <w:rPr>
          <w:rFonts w:hint="default" w:ascii="Times New Roman" w:hAnsi="Times New Roman" w:eastAsia="宋体" w:cs="Times New Roman"/>
          <w:color w:val="000000"/>
          <w:kern w:val="0"/>
          <w:sz w:val="31"/>
          <w:szCs w:val="31"/>
          <w:lang w:val="en-US" w:eastAsia="zh-CN" w:bidi="ar"/>
        </w:rPr>
        <w:t>30</w:t>
      </w:r>
      <w:r>
        <w:rPr>
          <w:rFonts w:ascii="仿宋_GB2312" w:hAnsi="仿宋_GB2312" w:eastAsia="仿宋_GB2312" w:cs="仿宋_GB2312"/>
          <w:color w:val="000000"/>
          <w:kern w:val="0"/>
          <w:sz w:val="31"/>
          <w:szCs w:val="31"/>
          <w:lang w:val="en-US" w:eastAsia="zh-CN" w:bidi="ar"/>
        </w:rPr>
        <w:t>天前告知原许可机关，并办理相关注销手续。</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930" w:firstLineChars="300"/>
        <w:jc w:val="center"/>
        <w:textAlignment w:val="auto"/>
        <w:rPr>
          <w:rFonts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第三章经营管理</w:t>
      </w:r>
    </w:p>
    <w:p>
      <w:pPr>
        <w:keepNext w:val="0"/>
        <w:keepLines w:val="0"/>
        <w:pageBreakBefore w:val="0"/>
        <w:widowControl w:val="0"/>
        <w:numPr>
          <w:ilvl w:val="0"/>
          <w:numId w:val="1"/>
        </w:numPr>
        <w:suppressLineNumbers w:val="0"/>
        <w:tabs>
          <w:tab w:val="left" w:pos="0"/>
        </w:tabs>
        <w:kinsoku/>
        <w:wordWrap/>
        <w:overflowPunct/>
        <w:topLinePunct w:val="0"/>
        <w:autoSpaceDE/>
        <w:autoSpaceDN/>
        <w:bidi w:val="0"/>
        <w:adjustRightInd/>
        <w:snapToGrid/>
        <w:spacing w:line="580" w:lineRule="exact"/>
        <w:ind w:left="0" w:leftChars="0" w:firstLine="756" w:firstLineChars="244"/>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企业是道路安全的责任主体，其主要负责人对本企业的道路运输安全工作全面负责。</w:t>
      </w:r>
    </w:p>
    <w:p>
      <w:pPr>
        <w:keepNext w:val="0"/>
        <w:keepLines w:val="0"/>
        <w:pageBreakBefore w:val="0"/>
        <w:widowControl w:val="0"/>
        <w:numPr>
          <w:ilvl w:val="0"/>
          <w:numId w:val="1"/>
        </w:numPr>
        <w:suppressLineNumbers w:val="0"/>
        <w:tabs>
          <w:tab w:val="left" w:pos="0"/>
        </w:tabs>
        <w:kinsoku/>
        <w:wordWrap/>
        <w:overflowPunct/>
        <w:topLinePunct w:val="0"/>
        <w:autoSpaceDE/>
        <w:autoSpaceDN/>
        <w:bidi w:val="0"/>
        <w:adjustRightInd/>
        <w:snapToGrid/>
        <w:spacing w:line="580" w:lineRule="exact"/>
        <w:ind w:left="0" w:leftChars="0" w:firstLine="756" w:firstLineChars="244"/>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企业应当加强车辆技术管理，建立车辆技术状况检查制度，加强对从业人员的安全、职业道德教育和业务知识、操作规程培训。跨境运输车辆所配备的香港籍驾驶员，应遵守道路运输法规和道路运输驾驶员操作规程，安全驾驶，文明服务。</w:t>
      </w:r>
    </w:p>
    <w:p>
      <w:pPr>
        <w:keepNext w:val="0"/>
        <w:keepLines w:val="0"/>
        <w:pageBreakBefore w:val="0"/>
        <w:widowControl w:val="0"/>
        <w:numPr>
          <w:ilvl w:val="0"/>
          <w:numId w:val="1"/>
        </w:numPr>
        <w:suppressLineNumbers w:val="0"/>
        <w:tabs>
          <w:tab w:val="left" w:pos="0"/>
        </w:tabs>
        <w:kinsoku/>
        <w:wordWrap/>
        <w:overflowPunct/>
        <w:topLinePunct w:val="0"/>
        <w:autoSpaceDE/>
        <w:autoSpaceDN/>
        <w:bidi w:val="0"/>
        <w:adjustRightInd/>
        <w:snapToGrid/>
        <w:spacing w:line="580" w:lineRule="exact"/>
        <w:ind w:left="0" w:leftChars="0" w:firstLine="756" w:firstLineChars="244"/>
        <w:jc w:val="left"/>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企业应当建立和完善各类台账和档案，并按照要求及时报送有关资料和信息。</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line="580" w:lineRule="exact"/>
        <w:ind w:left="0" w:leftChars="0" w:firstLine="756" w:firstLineChars="244"/>
        <w:jc w:val="center"/>
        <w:textAlignment w:val="auto"/>
        <w:rPr>
          <w:rFonts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第四章附则</w:t>
      </w:r>
    </w:p>
    <w:p>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line="580" w:lineRule="exact"/>
        <w:ind w:left="0" w:leftChars="0" w:firstLine="756" w:firstLineChars="244"/>
        <w:jc w:val="left"/>
        <w:textAlignment w:val="auto"/>
      </w:pPr>
      <w:r>
        <w:rPr>
          <w:rFonts w:ascii="仿宋_GB2312" w:hAnsi="仿宋_GB2312" w:eastAsia="仿宋_GB2312" w:cs="仿宋_GB2312"/>
          <w:color w:val="000000"/>
          <w:kern w:val="0"/>
          <w:sz w:val="31"/>
          <w:szCs w:val="31"/>
          <w:lang w:val="en-US" w:eastAsia="zh-CN" w:bidi="ar"/>
        </w:rPr>
        <w:t>第十六条</w:t>
      </w: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val="en-US" w:eastAsia="zh-CN" w:bidi="ar"/>
        </w:rPr>
        <w:t>本办法自</w:t>
      </w:r>
      <w:r>
        <w:rPr>
          <w:rFonts w:hint="default" w:ascii="Times New Roman" w:hAnsi="Times New Roman" w:eastAsia="宋体" w:cs="Times New Roman"/>
          <w:color w:val="000000"/>
          <w:kern w:val="0"/>
          <w:sz w:val="31"/>
          <w:szCs w:val="31"/>
          <w:lang w:val="en-US" w:eastAsia="zh-CN" w:bidi="ar"/>
        </w:rPr>
        <w:t>2026</w:t>
      </w:r>
      <w:r>
        <w:rPr>
          <w:rFonts w:ascii="仿宋_GB2312" w:hAnsi="仿宋_GB2312" w:eastAsia="仿宋_GB2312" w:cs="仿宋_GB2312"/>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w:t>
      </w:r>
      <w:r>
        <w:rPr>
          <w:rFonts w:ascii="仿宋_GB2312" w:hAnsi="仿宋_GB2312" w:eastAsia="仿宋_GB2312" w:cs="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29</w:t>
      </w:r>
      <w:r>
        <w:rPr>
          <w:rFonts w:ascii="仿宋_GB2312" w:hAnsi="仿宋_GB2312" w:eastAsia="仿宋_GB2312" w:cs="仿宋_GB2312"/>
          <w:color w:val="000000"/>
          <w:kern w:val="0"/>
          <w:sz w:val="31"/>
          <w:szCs w:val="31"/>
          <w:lang w:val="en-US" w:eastAsia="zh-CN" w:bidi="ar"/>
        </w:rPr>
        <w:t>日起试行，有效期</w:t>
      </w:r>
      <w:r>
        <w:rPr>
          <w:rFonts w:hint="default" w:ascii="Times New Roman" w:hAnsi="Times New Roman" w:eastAsia="宋体" w:cs="Times New Roman"/>
          <w:color w:val="000000"/>
          <w:kern w:val="0"/>
          <w:sz w:val="31"/>
          <w:szCs w:val="31"/>
          <w:lang w:val="en-US" w:eastAsia="zh-CN" w:bidi="ar"/>
        </w:rPr>
        <w:t>2</w:t>
      </w:r>
      <w:r>
        <w:rPr>
          <w:rFonts w:ascii="仿宋_GB2312" w:hAnsi="仿宋_GB2312" w:eastAsia="仿宋_GB2312" w:cs="仿宋_GB2312"/>
          <w:color w:val="000000"/>
          <w:kern w:val="0"/>
          <w:sz w:val="31"/>
          <w:szCs w:val="31"/>
          <w:lang w:val="en-US" w:eastAsia="zh-CN" w:bidi="ar"/>
        </w:rPr>
        <w:t>年</w:t>
      </w:r>
    </w:p>
    <w:p>
      <w:pPr>
        <w:pStyle w:val="5"/>
        <w:keepNext w:val="0"/>
        <w:keepLines w:val="0"/>
        <w:pageBreakBefore w:val="0"/>
        <w:widowControl/>
        <w:kinsoku/>
        <w:wordWrap/>
        <w:overflowPunct/>
        <w:topLinePunct w:val="0"/>
        <w:bidi w:val="0"/>
        <w:snapToGrid/>
        <w:spacing w:line="580" w:lineRule="exact"/>
        <w:jc w:val="left"/>
        <w:textAlignment w:val="auto"/>
        <w:rPr>
          <w:rFonts w:hint="eastAsia" w:ascii="仿宋_GB2312" w:eastAsia="仿宋_GB2312"/>
          <w:spacing w:val="-6"/>
          <w:sz w:val="32"/>
          <w:szCs w:val="32"/>
          <w:u w:val="single"/>
        </w:rPr>
      </w:pPr>
    </w:p>
    <w:p>
      <w:pPr>
        <w:pStyle w:val="5"/>
        <w:keepNext w:val="0"/>
        <w:keepLines w:val="0"/>
        <w:pageBreakBefore w:val="0"/>
        <w:widowControl/>
        <w:kinsoku/>
        <w:wordWrap/>
        <w:overflowPunct/>
        <w:topLinePunct w:val="0"/>
        <w:bidi w:val="0"/>
        <w:snapToGrid/>
        <w:spacing w:line="580" w:lineRule="exact"/>
        <w:jc w:val="left"/>
        <w:textAlignment w:val="auto"/>
        <w:rPr>
          <w:rFonts w:hint="eastAsia" w:ascii="仿宋_GB2312" w:eastAsia="仿宋_GB2312"/>
          <w:spacing w:val="-6"/>
          <w:sz w:val="32"/>
          <w:szCs w:val="32"/>
          <w:u w:val="single"/>
        </w:rPr>
      </w:pPr>
    </w:p>
    <w:p>
      <w:pPr>
        <w:pStyle w:val="5"/>
        <w:keepNext w:val="0"/>
        <w:keepLines w:val="0"/>
        <w:pageBreakBefore w:val="0"/>
        <w:kinsoku/>
        <w:wordWrap/>
        <w:overflowPunct/>
        <w:topLinePunct w:val="0"/>
        <w:bidi w:val="0"/>
        <w:snapToGrid/>
        <w:spacing w:line="580" w:lineRule="exact"/>
        <w:jc w:val="left"/>
        <w:textAlignment w:val="auto"/>
        <w:rPr>
          <w:rFonts w:hint="eastAsia" w:ascii="仿宋_GB2312" w:eastAsia="仿宋_GB2312"/>
          <w:spacing w:val="-6"/>
          <w:sz w:val="32"/>
          <w:szCs w:val="32"/>
          <w:u w:val="single"/>
        </w:rPr>
      </w:pPr>
    </w:p>
    <w:p>
      <w:pPr>
        <w:pStyle w:val="5"/>
        <w:keepNext w:val="0"/>
        <w:keepLines w:val="0"/>
        <w:pageBreakBefore w:val="0"/>
        <w:kinsoku/>
        <w:wordWrap/>
        <w:overflowPunct/>
        <w:topLinePunct w:val="0"/>
        <w:bidi w:val="0"/>
        <w:snapToGrid/>
        <w:spacing w:line="580" w:lineRule="exact"/>
        <w:jc w:val="left"/>
        <w:textAlignment w:val="auto"/>
        <w:rPr>
          <w:rFonts w:hint="eastAsia" w:ascii="仿宋_GB2312" w:eastAsia="仿宋_GB2312"/>
          <w:spacing w:val="-6"/>
          <w:sz w:val="32"/>
          <w:szCs w:val="32"/>
          <w:u w:val="single"/>
        </w:rPr>
      </w:pPr>
    </w:p>
    <w:p>
      <w:pPr>
        <w:pStyle w:val="5"/>
        <w:keepNext w:val="0"/>
        <w:keepLines w:val="0"/>
        <w:pageBreakBefore w:val="0"/>
        <w:kinsoku/>
        <w:wordWrap/>
        <w:overflowPunct/>
        <w:topLinePunct w:val="0"/>
        <w:bidi w:val="0"/>
        <w:snapToGrid/>
        <w:spacing w:line="580" w:lineRule="exact"/>
        <w:jc w:val="left"/>
        <w:textAlignment w:val="auto"/>
        <w:rPr>
          <w:rFonts w:hint="eastAsia" w:ascii="仿宋_GB2312" w:eastAsia="仿宋_GB2312"/>
          <w:spacing w:val="-6"/>
          <w:sz w:val="32"/>
          <w:szCs w:val="32"/>
          <w:u w:val="single"/>
        </w:rPr>
      </w:pPr>
    </w:p>
    <w:p>
      <w:pPr>
        <w:pStyle w:val="5"/>
        <w:keepNext w:val="0"/>
        <w:keepLines w:val="0"/>
        <w:pageBreakBefore w:val="0"/>
        <w:kinsoku/>
        <w:wordWrap/>
        <w:overflowPunct/>
        <w:topLinePunct w:val="0"/>
        <w:bidi w:val="0"/>
        <w:snapToGrid/>
        <w:spacing w:line="580" w:lineRule="exact"/>
        <w:jc w:val="left"/>
        <w:textAlignment w:val="auto"/>
        <w:rPr>
          <w:rFonts w:hint="eastAsia" w:ascii="仿宋_GB2312" w:eastAsia="仿宋_GB2312"/>
          <w:spacing w:val="-6"/>
          <w:sz w:val="32"/>
          <w:szCs w:val="32"/>
          <w:u w:val="single"/>
        </w:rPr>
      </w:pPr>
    </w:p>
    <w:tbl>
      <w:tblPr>
        <w:tblStyle w:val="3"/>
        <w:tblpPr w:leftFromText="180" w:rightFromText="180" w:vertAnchor="text" w:horzAnchor="page" w:tblpX="1502" w:tblpY="48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103" w:type="dxa"/>
            <w:tcBorders>
              <w:top w:val="single" w:color="auto" w:sz="4" w:space="0"/>
              <w:left w:val="nil"/>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default" w:ascii="Times New Roman" w:hAnsi="Times New Roman" w:eastAsia="仿宋_GB2312" w:cs="Times New Roman"/>
                <w:sz w:val="28"/>
                <w:szCs w:val="28"/>
              </w:rPr>
            </w:pPr>
            <w:r>
              <w:rPr>
                <w:rFonts w:hint="eastAsia" w:eastAsia="仿宋_GB2312" w:cs="Times New Roman"/>
                <w:sz w:val="28"/>
                <w:szCs w:val="28"/>
                <w:lang w:eastAsia="zh-CN"/>
              </w:rPr>
              <w:t>抄送：省交通运输厅、长沙海关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103" w:type="dxa"/>
            <w:tcBorders>
              <w:top w:val="single" w:color="auto" w:sz="4" w:space="0"/>
              <w:left w:val="nil"/>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湖南省</w:t>
            </w:r>
            <w:r>
              <w:rPr>
                <w:rFonts w:hint="eastAsia" w:eastAsia="仿宋_GB2312" w:cs="Times New Roman"/>
                <w:sz w:val="28"/>
                <w:szCs w:val="28"/>
                <w:lang w:eastAsia="zh-CN"/>
              </w:rPr>
              <w:t>商务</w:t>
            </w:r>
            <w:r>
              <w:rPr>
                <w:rFonts w:hint="default" w:ascii="Times New Roman" w:hAnsi="Times New Roman" w:eastAsia="仿宋_GB2312" w:cs="Times New Roman"/>
                <w:sz w:val="28"/>
                <w:szCs w:val="28"/>
              </w:rPr>
              <w:t xml:space="preserve">厅办公室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bookmarkStart w:id="0" w:name="_GoBack"/>
            <w:bookmarkEnd w:id="0"/>
            <w:r>
              <w:rPr>
                <w:rFonts w:hint="default" w:ascii="Times New Roman" w:hAnsi="Times New Roman" w:eastAsia="仿宋_GB2312" w:cs="Times New Roman"/>
                <w:sz w:val="28"/>
                <w:szCs w:val="28"/>
                <w:lang w:val="en-US" w:eastAsia="zh-CN"/>
              </w:rPr>
              <w:t>2020</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eastAsia" w:eastAsia="仿宋_GB2312" w:cs="Times New Roman"/>
                <w:sz w:val="28"/>
                <w:szCs w:val="28"/>
                <w:lang w:val="en-US" w:eastAsia="zh-CN"/>
              </w:rPr>
              <w:t>29</w:t>
            </w:r>
            <w:r>
              <w:rPr>
                <w:rFonts w:hint="default" w:ascii="Times New Roman" w:hAnsi="Times New Roman" w:eastAsia="仿宋_GB2312" w:cs="Times New Roman"/>
                <w:sz w:val="28"/>
                <w:szCs w:val="28"/>
              </w:rPr>
              <w:t>日印发</w:t>
            </w:r>
          </w:p>
        </w:tc>
      </w:tr>
    </w:tbl>
    <w:p>
      <w:pPr>
        <w:keepNext w:val="0"/>
        <w:keepLines w:val="0"/>
        <w:pageBreakBefore w:val="0"/>
        <w:kinsoku/>
        <w:wordWrap/>
        <w:overflowPunct/>
        <w:topLinePunct w:val="0"/>
        <w:bidi w:val="0"/>
        <w:snapToGrid/>
        <w:spacing w:line="580" w:lineRule="exact"/>
        <w:jc w:val="left"/>
        <w:textAlignment w:val="auto"/>
      </w:pPr>
    </w:p>
    <w:p>
      <w:pPr>
        <w:keepNext w:val="0"/>
        <w:keepLines w:val="0"/>
        <w:pageBreakBefore w:val="0"/>
        <w:kinsoku/>
        <w:wordWrap/>
        <w:overflowPunct/>
        <w:topLinePunct w:val="0"/>
        <w:bidi w:val="0"/>
        <w:snapToGrid/>
        <w:spacing w:line="580" w:lineRule="exact"/>
        <w:jc w:val="left"/>
        <w:textAlignment w:val="auto"/>
      </w:pPr>
    </w:p>
    <w:sectPr>
      <w:pgSz w:w="11906" w:h="16838"/>
      <w:pgMar w:top="2041" w:right="1474" w:bottom="175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9204"/>
        <w:tab w:val="clear" w:pos="4153"/>
      </w:tabs>
      <w:ind w:left="-359" w:leftChars="-17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444500" cy="497205"/>
              <wp:effectExtent l="0" t="0" r="0" b="0"/>
              <wp:wrapNone/>
              <wp:docPr id="2" name="矩形 2"/>
              <wp:cNvGraphicFramePr/>
              <a:graphic xmlns:a="http://schemas.openxmlformats.org/drawingml/2006/main">
                <a:graphicData uri="http://schemas.microsoft.com/office/word/2010/wordprocessingShape">
                  <wps:wsp>
                    <wps:cNvSpPr/>
                    <wps:spPr>
                      <a:xfrm>
                        <a:off x="0" y="0"/>
                        <a:ext cx="444500" cy="497205"/>
                      </a:xfrm>
                      <a:prstGeom prst="rect">
                        <a:avLst/>
                      </a:prstGeom>
                      <a:noFill/>
                      <a:ln>
                        <a:noFill/>
                      </a:ln>
                    </wps:spPr>
                    <wps:txbx>
                      <w:txbxContent>
                        <w:p>
                          <w:pPr>
                            <w:pStyle w:val="2"/>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1</w:t>
                          </w:r>
                          <w:r>
                            <w:rPr>
                              <w:rFonts w:ascii="宋体" w:cs="宋体"/>
                              <w:sz w:val="28"/>
                              <w:szCs w:val="28"/>
                            </w:rPr>
                            <w:fldChar w:fldCharType="end"/>
                          </w:r>
                        </w:p>
                      </w:txbxContent>
                    </wps:txbx>
                    <wps:bodyPr wrap="none" lIns="0" tIns="0" rIns="0" bIns="0" upright="true"/>
                  </wps:wsp>
                </a:graphicData>
              </a:graphic>
            </wp:anchor>
          </w:drawing>
        </mc:Choice>
        <mc:Fallback>
          <w:pict>
            <v:rect id="_x0000_s1026" o:spid="_x0000_s1026" o:spt="1" style="position:absolute;left:0pt;margin-top:-21pt;height:39.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BYAAABkcnMvUEsBAhQAFAAAAAgAh07iQOOM&#10;L9nWAAAABgEAAA8AAAAAAAAAAQAgAAAAOAAAAGRycy9kb3ducmV2LnhtbFBLAQIUABQAAAAIAIdO&#10;4kAXdAhGnQEAACUDAAAOAAAAAAAAAAEAIAAAADsBAABkcnMvZTJvRG9jLnhtbFBLBQYAAAAABgAG&#10;AFkBAABKBQAAAAA=&#10;">
              <v:fill on="f" focussize="0,0"/>
              <v:stroke on="f"/>
              <v:imagedata o:title=""/>
              <o:lock v:ext="edit" aspectratio="f"/>
              <v:textbox inset="0mm,0mm,0mm,0mm">
                <w:txbxContent>
                  <w:p>
                    <w:pPr>
                      <w:pStyle w:val="2"/>
                    </w:pP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1</w:t>
                    </w:r>
                    <w:r>
                      <w:rPr>
                        <w:rFonts w:ascii="宋体" w:cs="宋体"/>
                        <w:sz w:val="28"/>
                        <w:szCs w:val="28"/>
                      </w:rPr>
                      <w:fldChar w:fldCharType="end"/>
                    </w:r>
                  </w:p>
                </w:txbxContent>
              </v:textbox>
            </v:rect>
          </w:pict>
        </mc:Fallback>
      </mc:AlternateContent>
    </w:r>
    <w:r>
      <w:rPr>
        <w:rFonts w:hint="eastAsia"/>
      </w:rPr>
      <w:tab/>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A241D"/>
    <w:multiLevelType w:val="singleLevel"/>
    <w:tmpl w:val="E5FA241D"/>
    <w:lvl w:ilvl="0" w:tentative="0">
      <w:start w:val="13"/>
      <w:numFmt w:val="chineseCounting"/>
      <w:suff w:val="space"/>
      <w:lvlText w:val="第%1条"/>
      <w:lvlJc w:val="left"/>
      <w:pPr>
        <w:ind w:left="30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371B3A"/>
    <w:rsid w:val="5F1FDF08"/>
    <w:rsid w:val="6FFB1EB4"/>
    <w:rsid w:val="7BEF0C64"/>
    <w:rsid w:val="7E77B17F"/>
    <w:rsid w:val="7FCC6ACB"/>
    <w:rsid w:val="CDE770C5"/>
    <w:rsid w:val="F7371B3A"/>
    <w:rsid w:val="FFFFC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2026-01-01T08:37:00Z</dcterms:created>
  <dc:creator>xjkp</dc:creator>
  <cp:lastModifiedBy>greatwall</cp:lastModifiedBy>
  <dcterms:modified xsi:type="dcterms:W3CDTF">2026-01-02T12:27:33Z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9A45DF53A020D6C8547054697708D4F5</vt:lpwstr>
  </property>
</Properties>
</file>