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68C12">
      <w:pPr>
        <w:widowControl w:val="0"/>
        <w:adjustRightInd w:val="0"/>
        <w:snapToGrid w:val="0"/>
        <w:spacing w:line="600" w:lineRule="exact"/>
        <w:jc w:val="center"/>
        <w:rPr>
          <w:rFonts w:hint="eastAsia" w:ascii="方正小标宋简体" w:hAnsi="方正小标宋简体" w:eastAsia="方正小标宋简体" w:cs="方正小标宋简体"/>
          <w:color w:val="000000"/>
          <w:kern w:val="0"/>
          <w:sz w:val="44"/>
          <w:szCs w:val="44"/>
          <w:lang w:val="en-US" w:eastAsia="zh-CN" w:bidi="ar-SA"/>
        </w:rPr>
      </w:pPr>
    </w:p>
    <w:p w14:paraId="07CD87BF">
      <w:pPr>
        <w:widowControl w:val="0"/>
        <w:adjustRightInd w:val="0"/>
        <w:snapToGrid w:val="0"/>
        <w:spacing w:line="600" w:lineRule="exact"/>
        <w:jc w:val="center"/>
        <w:rPr>
          <w:rFonts w:hint="eastAsia" w:ascii="方正小标宋简体" w:hAnsi="方正小标宋简体" w:eastAsia="方正小标宋简体" w:cs="方正小标宋简体"/>
          <w:color w:val="000000"/>
          <w:kern w:val="0"/>
          <w:sz w:val="44"/>
          <w:szCs w:val="44"/>
          <w:lang w:val="en-US" w:eastAsia="zh-CN" w:bidi="ar-SA"/>
        </w:rPr>
      </w:pPr>
    </w:p>
    <w:p w14:paraId="41A14A0F">
      <w:pPr>
        <w:widowControl w:val="0"/>
        <w:adjustRightInd w:val="0"/>
        <w:snapToGrid w:val="0"/>
        <w:spacing w:line="600" w:lineRule="exact"/>
        <w:jc w:val="center"/>
        <w:rPr>
          <w:rFonts w:hint="eastAsia" w:asciiTheme="minorEastAsia" w:hAnsiTheme="minorEastAsia" w:eastAsiaTheme="minorEastAsia" w:cstheme="minorEastAsia"/>
          <w:color w:val="000000"/>
          <w:kern w:val="0"/>
          <w:sz w:val="44"/>
          <w:szCs w:val="44"/>
          <w:lang w:val="en-US" w:eastAsia="zh-CN" w:bidi="ar-SA"/>
        </w:rPr>
      </w:pPr>
      <w:r>
        <w:rPr>
          <w:rFonts w:hint="eastAsia" w:asciiTheme="minorEastAsia" w:hAnsiTheme="minorEastAsia" w:eastAsiaTheme="minorEastAsia" w:cstheme="minorEastAsia"/>
          <w:color w:val="000000"/>
          <w:kern w:val="0"/>
          <w:sz w:val="44"/>
          <w:szCs w:val="44"/>
          <w:lang w:val="en-US" w:eastAsia="zh-CN" w:bidi="ar-SA"/>
        </w:rPr>
        <w:t>湖南省城镇土地使用税实施办法</w:t>
      </w:r>
    </w:p>
    <w:p w14:paraId="1E94C798">
      <w:pPr>
        <w:widowControl w:val="0"/>
        <w:adjustRightInd w:val="0"/>
        <w:snapToGrid w:val="0"/>
        <w:spacing w:before="0" w:line="600" w:lineRule="exact"/>
        <w:ind w:firstLine="640" w:firstLineChars="200"/>
        <w:jc w:val="both"/>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color w:val="000000"/>
          <w:kern w:val="0"/>
          <w:sz w:val="32"/>
          <w:szCs w:val="32"/>
          <w:lang w:val="en-US" w:eastAsia="zh-CN" w:bidi="ar-SA"/>
        </w:rPr>
        <w:t>（2007年12月31日湖南省人民政府令第217号公布 2022年10月8日湖南省人民政府令第310号第一次修改 2025年12月20</w:t>
      </w:r>
      <w:bookmarkStart w:id="0" w:name="_GoBack"/>
      <w:bookmarkEnd w:id="0"/>
      <w:r>
        <w:rPr>
          <w:rFonts w:hint="eastAsia" w:ascii="楷体_GB2312" w:hAnsi="楷体_GB2312" w:eastAsia="楷体_GB2312" w:cs="楷体_GB2312"/>
          <w:color w:val="000000"/>
          <w:kern w:val="0"/>
          <w:sz w:val="32"/>
          <w:szCs w:val="32"/>
          <w:lang w:val="en-US" w:eastAsia="zh-CN" w:bidi="ar-SA"/>
        </w:rPr>
        <w:t>日湖南省人民政府令第333号第二次修改 自2008年1月1日起施行）</w:t>
      </w:r>
    </w:p>
    <w:p w14:paraId="6F07F3E3">
      <w:pPr>
        <w:widowControl w:val="0"/>
        <w:adjustRightInd w:val="0"/>
        <w:snapToGrid w:val="0"/>
        <w:spacing w:before="0" w:line="600" w:lineRule="exact"/>
        <w:ind w:firstLine="640" w:firstLineChars="200"/>
        <w:jc w:val="both"/>
        <w:rPr>
          <w:rFonts w:hint="eastAsia" w:ascii="楷体_GB2312" w:hAnsi="楷体_GB2312" w:eastAsia="楷体_GB2312" w:cs="楷体_GB2312"/>
          <w:color w:val="000000"/>
          <w:kern w:val="0"/>
          <w:sz w:val="32"/>
          <w:szCs w:val="32"/>
          <w:lang w:val="en-US" w:eastAsia="zh-CN" w:bidi="ar-SA"/>
        </w:rPr>
      </w:pPr>
    </w:p>
    <w:p w14:paraId="7DCF4F90">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第一条　</w:t>
      </w:r>
      <w:r>
        <w:rPr>
          <w:rFonts w:hint="eastAsia" w:ascii="Times New Roman" w:hAnsi="Times New Roman" w:eastAsia="仿宋_GB2312" w:cs="仿宋_GB2312"/>
          <w:color w:val="000000"/>
          <w:kern w:val="0"/>
          <w:sz w:val="32"/>
          <w:szCs w:val="32"/>
          <w:shd w:val="clear" w:color="auto" w:fill="auto"/>
          <w:lang w:val="en-US" w:eastAsia="zh-CN" w:bidi="ar-SA"/>
        </w:rPr>
        <w:t>根据《中华人民共和国城镇土地使用税暂行条例》（以下简称《条例》），结合我省实际情况，制定本办法。</w:t>
      </w:r>
    </w:p>
    <w:p w14:paraId="5CE1AA1F">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第二条　</w:t>
      </w:r>
      <w:r>
        <w:rPr>
          <w:rFonts w:hint="eastAsia" w:ascii="Times New Roman" w:hAnsi="Times New Roman" w:eastAsia="仿宋_GB2312" w:cs="仿宋_GB2312"/>
          <w:color w:val="000000"/>
          <w:kern w:val="0"/>
          <w:sz w:val="32"/>
          <w:szCs w:val="32"/>
          <w:shd w:val="clear" w:color="auto" w:fill="auto"/>
          <w:lang w:val="en-US" w:eastAsia="zh-CN" w:bidi="ar-SA"/>
        </w:rPr>
        <w:t>在城市、县城、建制镇、工矿区范围内使用土地的单位和个人，为城镇土地使用税（以下简称土地使用税）的纳税人，应当依照《条例》和本办法的规定缴纳土地使用税。</w:t>
      </w:r>
    </w:p>
    <w:p w14:paraId="2CA42674">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仿宋_GB2312" w:cs="仿宋_GB2312"/>
          <w:color w:val="000000"/>
          <w:kern w:val="0"/>
          <w:sz w:val="32"/>
          <w:szCs w:val="32"/>
          <w:shd w:val="clear" w:color="auto" w:fill="auto"/>
          <w:lang w:val="en-US" w:eastAsia="zh-CN" w:bidi="ar-SA"/>
        </w:rPr>
        <w:t>前款所称单位，包括国有企业、集体企业、私营企业、股份制企业、外商投资企业、外国企业以及其他企业和事业单位、社会团体、国家机关、军队以及其他单位；所称个人，包括个体工商户以及其他个人。</w:t>
      </w:r>
    </w:p>
    <w:p w14:paraId="0736E8C9">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第三条　</w:t>
      </w:r>
      <w:r>
        <w:rPr>
          <w:rFonts w:hint="eastAsia" w:ascii="Times New Roman" w:hAnsi="Times New Roman" w:eastAsia="仿宋_GB2312" w:cs="仿宋_GB2312"/>
          <w:color w:val="000000"/>
          <w:kern w:val="0"/>
          <w:sz w:val="32"/>
          <w:szCs w:val="32"/>
          <w:shd w:val="clear" w:color="auto" w:fill="auto"/>
          <w:lang w:val="en-US" w:eastAsia="zh-CN" w:bidi="ar-SA"/>
        </w:rPr>
        <w:t>土地使用税以纳税人实际占用的土地面积为计税依据。纳税人实际占用的土地面积的确定，以不动产登记机构核发的不动产权属证书所确认的土地面积为依据；尚未核发不动产权属证书的，以县级以上人民政府自然资源主管部门的权籍调查资料为依据；无不动产权属证书又无权籍调查资料的，暂以纳税人据实申报并经主管的税务机关核实的土地面积为依据。</w:t>
      </w:r>
    </w:p>
    <w:p w14:paraId="72D6F256">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第四条　</w:t>
      </w:r>
      <w:r>
        <w:rPr>
          <w:rFonts w:hint="eastAsia" w:ascii="Times New Roman" w:hAnsi="Times New Roman" w:eastAsia="仿宋_GB2312" w:cs="仿宋_GB2312"/>
          <w:color w:val="000000"/>
          <w:kern w:val="0"/>
          <w:sz w:val="32"/>
          <w:szCs w:val="32"/>
          <w:shd w:val="clear" w:color="auto" w:fill="auto"/>
          <w:lang w:val="en-US" w:eastAsia="zh-CN" w:bidi="ar-SA"/>
        </w:rPr>
        <w:t>土地使用税每平方米税额幅度：</w:t>
      </w:r>
    </w:p>
    <w:p w14:paraId="67957E70">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仿宋_GB2312" w:cs="仿宋_GB2312"/>
          <w:color w:val="000000"/>
          <w:kern w:val="0"/>
          <w:sz w:val="32"/>
          <w:szCs w:val="32"/>
          <w:shd w:val="clear" w:color="auto" w:fill="auto"/>
          <w:lang w:val="en-US" w:eastAsia="zh-CN" w:bidi="ar-SA"/>
        </w:rPr>
        <w:t>（一）大城市1.5元至30元；</w:t>
      </w:r>
    </w:p>
    <w:p w14:paraId="002AFE62">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仿宋_GB2312" w:cs="仿宋_GB2312"/>
          <w:color w:val="000000"/>
          <w:kern w:val="0"/>
          <w:sz w:val="32"/>
          <w:szCs w:val="32"/>
          <w:shd w:val="clear" w:color="auto" w:fill="auto"/>
          <w:lang w:val="en-US" w:eastAsia="zh-CN" w:bidi="ar-SA"/>
        </w:rPr>
        <w:t>（二）中等城市1.2元至24元；</w:t>
      </w:r>
    </w:p>
    <w:p w14:paraId="5E0D3088">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仿宋_GB2312" w:cs="仿宋_GB2312"/>
          <w:color w:val="000000"/>
          <w:kern w:val="0"/>
          <w:sz w:val="32"/>
          <w:szCs w:val="32"/>
          <w:shd w:val="clear" w:color="auto" w:fill="auto"/>
          <w:lang w:val="en-US" w:eastAsia="zh-CN" w:bidi="ar-SA"/>
        </w:rPr>
        <w:t>（三）小城市0.9元至18元；</w:t>
      </w:r>
    </w:p>
    <w:p w14:paraId="5497100F">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仿宋_GB2312" w:cs="仿宋_GB2312"/>
          <w:color w:val="000000"/>
          <w:kern w:val="0"/>
          <w:sz w:val="32"/>
          <w:szCs w:val="32"/>
          <w:shd w:val="clear" w:color="auto" w:fill="auto"/>
          <w:lang w:val="en-US" w:eastAsia="zh-CN" w:bidi="ar-SA"/>
        </w:rPr>
        <w:t>（四）县城、建制镇、工矿区0.6元至12元。</w:t>
      </w:r>
    </w:p>
    <w:p w14:paraId="5C135381">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第五条　</w:t>
      </w:r>
      <w:r>
        <w:rPr>
          <w:rFonts w:hint="eastAsia" w:ascii="Times New Roman" w:hAnsi="Times New Roman" w:eastAsia="仿宋_GB2312" w:cs="仿宋_GB2312"/>
          <w:color w:val="000000"/>
          <w:kern w:val="0"/>
          <w:sz w:val="32"/>
          <w:szCs w:val="32"/>
          <w:shd w:val="clear" w:color="auto" w:fill="auto"/>
          <w:lang w:val="en-US" w:eastAsia="zh-CN" w:bidi="ar-SA"/>
        </w:rPr>
        <w:t>市、县人民政府在前条所列税额幅度和本办法附表所列的等级税额标准内，根据当地市政建设和经济发展状况，确定所辖地区具体征收范围和具体地段适用等级税额标准，经省财政部门、省税务机关审核后，报省人民政府批准执行。</w:t>
      </w:r>
    </w:p>
    <w:p w14:paraId="566B473E">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仿宋_GB2312" w:cs="仿宋_GB2312"/>
          <w:color w:val="000000"/>
          <w:kern w:val="0"/>
          <w:sz w:val="32"/>
          <w:szCs w:val="32"/>
          <w:shd w:val="clear" w:color="auto" w:fill="auto"/>
          <w:lang w:val="en-US" w:eastAsia="zh-CN" w:bidi="ar-SA"/>
        </w:rPr>
        <w:t>经济欠发达地区确需降低适用等级税额标准的，在降低额不超过前条所列税额幅度30%内，经省财政部门、省税务机关审核后，报省人民政府批准执行。经济发达地区需提高适用等级税额标准的，经省人民政府审核后，报财政部批准执行。</w:t>
      </w:r>
    </w:p>
    <w:p w14:paraId="12C63225">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第六条　</w:t>
      </w:r>
      <w:r>
        <w:rPr>
          <w:rFonts w:hint="eastAsia" w:ascii="Times New Roman" w:hAnsi="Times New Roman" w:eastAsia="仿宋_GB2312" w:cs="仿宋_GB2312"/>
          <w:color w:val="000000"/>
          <w:kern w:val="0"/>
          <w:sz w:val="32"/>
          <w:szCs w:val="32"/>
          <w:shd w:val="clear" w:color="auto" w:fill="auto"/>
          <w:lang w:val="en-US" w:eastAsia="zh-CN" w:bidi="ar-SA"/>
        </w:rPr>
        <w:t>土地免缴土地使用税的范围按照《条例》第六条的规定执行。</w:t>
      </w:r>
    </w:p>
    <w:p w14:paraId="2645866A">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第七条　</w:t>
      </w:r>
      <w:r>
        <w:rPr>
          <w:rFonts w:hint="eastAsia" w:ascii="Times New Roman" w:hAnsi="Times New Roman" w:eastAsia="仿宋_GB2312" w:cs="仿宋_GB2312"/>
          <w:color w:val="000000"/>
          <w:kern w:val="0"/>
          <w:sz w:val="32"/>
          <w:szCs w:val="32"/>
          <w:shd w:val="clear" w:color="auto" w:fill="auto"/>
          <w:lang w:val="en-US" w:eastAsia="zh-CN" w:bidi="ar-SA"/>
        </w:rPr>
        <w:t>个人自用居住房屋及院落所使用的土地暂免征收土地使用税。</w:t>
      </w:r>
    </w:p>
    <w:p w14:paraId="75A1D2D3">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第八条　</w:t>
      </w:r>
      <w:r>
        <w:rPr>
          <w:rFonts w:hint="eastAsia" w:ascii="Times New Roman" w:hAnsi="Times New Roman" w:eastAsia="仿宋_GB2312" w:cs="仿宋_GB2312"/>
          <w:color w:val="000000"/>
          <w:kern w:val="0"/>
          <w:sz w:val="32"/>
          <w:szCs w:val="32"/>
          <w:shd w:val="clear" w:color="auto" w:fill="auto"/>
          <w:lang w:val="en-US" w:eastAsia="zh-CN" w:bidi="ar-SA"/>
        </w:rPr>
        <w:t>应税和免税土地不易划分清楚的，由主管税务机关根据实际使用情况确定应税单位的应纳税额。</w:t>
      </w:r>
    </w:p>
    <w:p w14:paraId="1642A9C6">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仿宋_GB2312" w:cs="仿宋_GB2312"/>
          <w:color w:val="000000"/>
          <w:kern w:val="0"/>
          <w:sz w:val="32"/>
          <w:szCs w:val="32"/>
          <w:shd w:val="clear" w:color="auto" w:fill="auto"/>
          <w:lang w:val="en-US" w:eastAsia="zh-CN" w:bidi="ar-SA"/>
        </w:rPr>
        <w:t>免征土地使用税的土地改变土地用途的，从改变土地用途的次月起，按本办法规定缴纳土地使用税。</w:t>
      </w:r>
    </w:p>
    <w:p w14:paraId="5EE3B11A">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第九条　</w:t>
      </w:r>
      <w:r>
        <w:rPr>
          <w:rFonts w:hint="eastAsia" w:ascii="Times New Roman" w:hAnsi="Times New Roman" w:eastAsia="仿宋_GB2312" w:cs="仿宋_GB2312"/>
          <w:color w:val="000000"/>
          <w:kern w:val="0"/>
          <w:sz w:val="32"/>
          <w:szCs w:val="32"/>
          <w:shd w:val="clear" w:color="auto" w:fill="auto"/>
          <w:lang w:val="en-US" w:eastAsia="zh-CN" w:bidi="ar-SA"/>
        </w:rPr>
        <w:t>除本办法第六条、第七条规定外，纳税人缴纳土地使用税确有困难需要定期减免的，按税收减免管理权限的有关规定执行。</w:t>
      </w:r>
    </w:p>
    <w:p w14:paraId="742D3C25">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第十条　</w:t>
      </w:r>
      <w:r>
        <w:rPr>
          <w:rFonts w:hint="eastAsia" w:ascii="Times New Roman" w:hAnsi="Times New Roman" w:eastAsia="仿宋_GB2312" w:cs="仿宋_GB2312"/>
          <w:color w:val="000000"/>
          <w:kern w:val="0"/>
          <w:sz w:val="32"/>
          <w:szCs w:val="32"/>
          <w:shd w:val="clear" w:color="auto" w:fill="auto"/>
          <w:lang w:val="en-US" w:eastAsia="zh-CN" w:bidi="ar-SA"/>
        </w:rPr>
        <w:t>土地使用税按年计算，分月或者分季缴纳，纳税人应当自月份或者季度终了之日起十五日内申报缴纳税款。</w:t>
      </w:r>
    </w:p>
    <w:p w14:paraId="4FAC0B3D">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仿宋_GB2312" w:cs="仿宋_GB2312"/>
          <w:color w:val="000000"/>
          <w:kern w:val="0"/>
          <w:sz w:val="32"/>
          <w:szCs w:val="32"/>
          <w:shd w:val="clear" w:color="auto" w:fill="auto"/>
          <w:lang w:val="en-US" w:eastAsia="zh-CN" w:bidi="ar-SA"/>
        </w:rPr>
        <w:t>土地使用不满一年或者享受免税期满恢复征税不满一年的，按月换算计征。</w:t>
      </w:r>
    </w:p>
    <w:p w14:paraId="5200765F">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第十一条　</w:t>
      </w:r>
      <w:r>
        <w:rPr>
          <w:rFonts w:hint="eastAsia" w:ascii="Times New Roman" w:hAnsi="Times New Roman" w:eastAsia="仿宋_GB2312" w:cs="仿宋_GB2312"/>
          <w:color w:val="000000"/>
          <w:kern w:val="0"/>
          <w:sz w:val="32"/>
          <w:szCs w:val="32"/>
          <w:shd w:val="clear" w:color="auto" w:fill="auto"/>
          <w:lang w:val="en-US" w:eastAsia="zh-CN" w:bidi="ar-SA"/>
        </w:rPr>
        <w:t>纳税人住址变更、土地增减、土地使用权转移的，应当在变更、增减、转移之日起30日内向当地税务机关办理税务登记或者变动登记。</w:t>
      </w:r>
    </w:p>
    <w:p w14:paraId="0F10FB9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第十二条　</w:t>
      </w:r>
      <w:r>
        <w:rPr>
          <w:rFonts w:hint="eastAsia" w:ascii="Times New Roman" w:hAnsi="Times New Roman" w:eastAsia="仿宋_GB2312" w:cs="仿宋_GB2312"/>
          <w:color w:val="000000"/>
          <w:kern w:val="0"/>
          <w:sz w:val="32"/>
          <w:szCs w:val="32"/>
          <w:shd w:val="clear" w:color="auto" w:fill="auto"/>
          <w:lang w:val="en-US" w:eastAsia="zh-CN" w:bidi="ar-SA"/>
        </w:rPr>
        <w:t>土地使用税由土地所在地的税务机关负责征收。</w:t>
      </w:r>
    </w:p>
    <w:p w14:paraId="66F5DA38">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仿宋_GB2312" w:cs="仿宋_GB2312"/>
          <w:color w:val="000000"/>
          <w:kern w:val="0"/>
          <w:sz w:val="32"/>
          <w:szCs w:val="32"/>
          <w:shd w:val="clear" w:color="auto" w:fill="auto"/>
          <w:lang w:val="en-US" w:eastAsia="zh-CN" w:bidi="ar-SA"/>
        </w:rPr>
        <w:t>自然资源主管部门应当及时向同级税务机关提供土地等级和土地使用权属等机关资料，协助税务机关做好土地使用税的征收管理工作。</w:t>
      </w:r>
    </w:p>
    <w:p w14:paraId="77B3C078">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第十三条　</w:t>
      </w:r>
      <w:r>
        <w:rPr>
          <w:rFonts w:hint="eastAsia" w:ascii="Times New Roman" w:hAnsi="Times New Roman" w:eastAsia="仿宋_GB2312" w:cs="仿宋_GB2312"/>
          <w:color w:val="000000"/>
          <w:kern w:val="0"/>
          <w:sz w:val="32"/>
          <w:szCs w:val="32"/>
          <w:shd w:val="clear" w:color="auto" w:fill="auto"/>
          <w:lang w:val="en-US" w:eastAsia="zh-CN" w:bidi="ar-SA"/>
        </w:rPr>
        <w:t>土地使用税的征收管理，按照税收征收管理法律、法规、规章的有关规定办理。</w:t>
      </w:r>
    </w:p>
    <w:p w14:paraId="5BEF3FD7">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黑体" w:cs="Times New Roman"/>
          <w:color w:val="000000"/>
          <w:kern w:val="0"/>
          <w:sz w:val="32"/>
          <w:szCs w:val="32"/>
          <w:shd w:val="clear" w:color="auto" w:fill="auto"/>
          <w:lang w:val="en-US" w:eastAsia="zh-CN" w:bidi="ar-SA"/>
        </w:rPr>
        <w:t>第十四条　</w:t>
      </w:r>
      <w:r>
        <w:rPr>
          <w:rFonts w:hint="eastAsia" w:ascii="Times New Roman" w:hAnsi="Times New Roman" w:eastAsia="仿宋_GB2312" w:cs="仿宋_GB2312"/>
          <w:color w:val="000000"/>
          <w:kern w:val="0"/>
          <w:sz w:val="32"/>
          <w:szCs w:val="32"/>
          <w:shd w:val="clear" w:color="auto" w:fill="auto"/>
          <w:lang w:val="en-US" w:eastAsia="zh-CN" w:bidi="ar-SA"/>
        </w:rPr>
        <w:t>本办法自2008年1月1日起施行。1989年4月2日省人民政府发布的《湖南省城镇土地使用税实施办法》（湘政发〔1989〕12号）同时废止。</w:t>
      </w:r>
    </w:p>
    <w:p w14:paraId="3CCE6D9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shd w:val="clear" w:color="auto" w:fill="auto"/>
          <w:lang w:val="en-US" w:eastAsia="zh-CN" w:bidi="ar-SA"/>
        </w:rPr>
      </w:pPr>
      <w:r>
        <w:rPr>
          <w:rFonts w:hint="eastAsia" w:ascii="Times New Roman" w:hAnsi="Times New Roman" w:eastAsia="仿宋_GB2312" w:cs="仿宋_GB2312"/>
          <w:color w:val="000000"/>
          <w:kern w:val="0"/>
          <w:sz w:val="32"/>
          <w:szCs w:val="32"/>
          <w:shd w:val="clear" w:color="auto" w:fill="auto"/>
          <w:lang w:val="en-US" w:eastAsia="zh-CN" w:bidi="ar-SA"/>
        </w:rPr>
        <w:t xml:space="preserve"> </w:t>
      </w:r>
    </w:p>
    <w:p w14:paraId="0210779D">
      <w:pPr>
        <w:widowControl w:val="0"/>
        <w:adjustRightInd w:val="0"/>
        <w:snapToGrid w:val="0"/>
        <w:spacing w:line="600" w:lineRule="exact"/>
        <w:ind w:firstLine="640" w:firstLineChars="200"/>
        <w:jc w:val="both"/>
        <w:rPr>
          <w:rFonts w:hint="eastAsia" w:ascii="方正书宋简体" w:hAnsi="方正书宋简体" w:eastAsia="仿宋_GB2312" w:cs="Times New Roman"/>
          <w:color w:val="000000"/>
          <w:kern w:val="0"/>
          <w:sz w:val="32"/>
          <w:szCs w:val="32"/>
          <w:lang w:val="en-US" w:eastAsia="zh-CN" w:bidi="ar-SA"/>
        </w:rPr>
      </w:pPr>
      <w:r>
        <w:rPr>
          <w:rFonts w:hint="eastAsia" w:ascii="方正书宋简体" w:hAnsi="方正书宋简体" w:eastAsia="仿宋_GB2312" w:cs="Times New Roman"/>
          <w:color w:val="000000"/>
          <w:kern w:val="0"/>
          <w:sz w:val="32"/>
          <w:szCs w:val="32"/>
          <w:lang w:val="en-US" w:eastAsia="zh-CN" w:bidi="ar-SA"/>
        </w:rPr>
        <w:t>附表：湖南省城镇土地使用税分级定额标准表</w:t>
      </w:r>
    </w:p>
    <w:p w14:paraId="1911E9EF">
      <w:pPr>
        <w:widowControl w:val="0"/>
        <w:adjustRightInd w:val="0"/>
        <w:snapToGrid w:val="0"/>
        <w:spacing w:line="600" w:lineRule="exact"/>
        <w:ind w:firstLine="640" w:firstLineChars="200"/>
        <w:jc w:val="both"/>
        <w:rPr>
          <w:rFonts w:hint="eastAsia" w:ascii="方正书宋简体" w:hAnsi="方正书宋简体" w:eastAsia="仿宋_GB2312" w:cs="Times New Roman"/>
          <w:color w:val="000000"/>
          <w:kern w:val="0"/>
          <w:sz w:val="32"/>
          <w:szCs w:val="32"/>
          <w:lang w:val="en-US" w:eastAsia="zh-CN" w:bidi="ar-SA"/>
        </w:rPr>
      </w:pPr>
    </w:p>
    <w:p w14:paraId="6539F321">
      <w:pPr>
        <w:widowControl/>
        <w:ind w:firstLine="0" w:firstLineChars="0"/>
        <w:jc w:val="center"/>
        <w:rPr>
          <w:rFonts w:ascii="黑体" w:hAnsi="黑体" w:eastAsia="黑体" w:cs="Times New Roman"/>
          <w:color w:val="000000"/>
          <w:kern w:val="0"/>
          <w:sz w:val="32"/>
          <w:szCs w:val="32"/>
          <w:lang w:val="en-US" w:eastAsia="zh-CN" w:bidi="ar-SA"/>
        </w:rPr>
      </w:pPr>
      <w:r>
        <w:rPr>
          <w:rFonts w:hint="eastAsia" w:ascii="黑体" w:hAnsi="黑体" w:eastAsia="黑体" w:cs="Times New Roman"/>
          <w:color w:val="000000"/>
          <w:kern w:val="0"/>
          <w:sz w:val="32"/>
          <w:szCs w:val="32"/>
          <w:lang w:val="en-US" w:eastAsia="zh-CN" w:bidi="ar-SA"/>
        </w:rPr>
        <w:t>湖南省城镇土地使用税分级定额标准表</w:t>
      </w:r>
    </w:p>
    <w:p w14:paraId="52519908">
      <w:pPr>
        <w:widowControl/>
        <w:ind w:firstLine="560" w:firstLineChars="200"/>
        <w:jc w:val="right"/>
        <w:rPr>
          <w:rFonts w:ascii="方正书宋简体" w:hAnsi="方正书宋简体" w:eastAsia="仿宋_GB2312" w:cs="Times New Roman"/>
          <w:color w:val="000000"/>
          <w:kern w:val="0"/>
          <w:sz w:val="28"/>
          <w:szCs w:val="28"/>
          <w:lang w:val="en-US" w:eastAsia="zh-CN" w:bidi="ar-SA"/>
        </w:rPr>
      </w:pPr>
      <w:r>
        <w:rPr>
          <w:rFonts w:hint="eastAsia" w:ascii="方正书宋简体" w:hAnsi="方正书宋简体" w:eastAsia="仿宋_GB2312" w:cs="Times New Roman"/>
          <w:color w:val="000000"/>
          <w:kern w:val="0"/>
          <w:sz w:val="28"/>
          <w:szCs w:val="28"/>
          <w:lang w:val="en-US" w:eastAsia="zh-CN" w:bidi="ar-SA"/>
        </w:rPr>
        <w:t>单位：元</w:t>
      </w:r>
    </w:p>
    <w:tbl>
      <w:tblPr>
        <w:tblStyle w:val="6"/>
        <w:tblW w:w="918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8" w:type="dxa"/>
          <w:bottom w:w="0" w:type="dxa"/>
          <w:right w:w="108" w:type="dxa"/>
        </w:tblCellMar>
      </w:tblPr>
      <w:tblGrid>
        <w:gridCol w:w="1425"/>
        <w:gridCol w:w="776"/>
        <w:gridCol w:w="776"/>
        <w:gridCol w:w="776"/>
        <w:gridCol w:w="776"/>
        <w:gridCol w:w="776"/>
        <w:gridCol w:w="776"/>
        <w:gridCol w:w="776"/>
        <w:gridCol w:w="776"/>
        <w:gridCol w:w="776"/>
        <w:gridCol w:w="776"/>
      </w:tblGrid>
      <w:tr w14:paraId="6CF40B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1512" w:hRule="atLeast"/>
          <w:jc w:val="center"/>
        </w:trPr>
        <w:tc>
          <w:tcPr>
            <w:tcW w:w="1425" w:type="dxa"/>
            <w:tcBorders>
              <w:top w:val="single" w:color="000000" w:sz="6" w:space="0"/>
              <w:left w:val="single" w:color="000000" w:sz="6" w:space="0"/>
              <w:bottom w:val="single" w:color="000000" w:sz="2" w:space="0"/>
              <w:right w:val="single" w:color="000000" w:sz="2" w:space="0"/>
              <w:tl2br w:val="single" w:color="000000" w:sz="2" w:space="0"/>
            </w:tcBorders>
            <w:noWrap w:val="0"/>
            <w:tcMar>
              <w:top w:w="23" w:type="dxa"/>
              <w:left w:w="23" w:type="dxa"/>
              <w:bottom w:w="23" w:type="dxa"/>
              <w:right w:w="23" w:type="dxa"/>
            </w:tcMar>
            <w:vAlign w:val="center"/>
          </w:tcPr>
          <w:p w14:paraId="18F42333">
            <w:pPr>
              <w:widowControl w:val="0"/>
              <w:adjustRightInd w:val="0"/>
              <w:snapToGrid w:val="0"/>
              <w:jc w:val="right"/>
              <w:rPr>
                <w:rFonts w:eastAsia="方正书宋_GBK"/>
              </w:rPr>
            </w:pPr>
          </w:p>
          <w:p w14:paraId="2ED7BDAF">
            <w:pPr>
              <w:widowControl w:val="0"/>
              <w:adjustRightInd w:val="0"/>
              <w:snapToGrid w:val="0"/>
              <w:rPr>
                <w:rFonts w:hint="eastAsia" w:eastAsia="方正书宋_GBK"/>
              </w:rPr>
            </w:pPr>
            <w:r>
              <w:rPr>
                <w:rFonts w:hint="eastAsia" w:eastAsia="方正书宋_GBK"/>
              </w:rPr>
              <w:t xml:space="preserve">       等级</w:t>
            </w:r>
          </w:p>
          <w:p w14:paraId="01A3D2B5">
            <w:pPr>
              <w:widowControl w:val="0"/>
              <w:adjustRightInd w:val="0"/>
              <w:snapToGrid w:val="0"/>
              <w:rPr>
                <w:rFonts w:hint="eastAsia" w:eastAsia="方正书宋_GBK"/>
              </w:rPr>
            </w:pPr>
          </w:p>
          <w:p w14:paraId="229F278C">
            <w:pPr>
              <w:widowControl w:val="0"/>
              <w:adjustRightInd w:val="0"/>
              <w:snapToGrid w:val="0"/>
              <w:rPr>
                <w:rFonts w:eastAsia="方正书宋_GBK"/>
              </w:rPr>
            </w:pPr>
            <w:r>
              <w:rPr>
                <w:rFonts w:hint="eastAsia" w:eastAsia="方正书宋_GBK"/>
              </w:rPr>
              <w:t xml:space="preserve"> 地区</w:t>
            </w:r>
            <w:r>
              <w:rPr>
                <w:rFonts w:eastAsia="方正书宋_GBK"/>
              </w:rPr>
              <w:br w:type="column"/>
            </w:r>
          </w:p>
          <w:p w14:paraId="0BE2FEDF">
            <w:pPr>
              <w:widowControl w:val="0"/>
              <w:adjustRightInd w:val="0"/>
              <w:snapToGrid w:val="0"/>
              <w:jc w:val="right"/>
              <w:rPr>
                <w:rFonts w:eastAsia="方正书宋_GBK"/>
              </w:rPr>
            </w:pPr>
          </w:p>
        </w:tc>
        <w:tc>
          <w:tcPr>
            <w:tcW w:w="776" w:type="dxa"/>
            <w:tcBorders>
              <w:top w:val="single" w:color="000000" w:sz="6"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23559F8C">
            <w:pPr>
              <w:widowControl w:val="0"/>
              <w:adjustRightInd w:val="0"/>
              <w:snapToGrid w:val="0"/>
              <w:jc w:val="center"/>
              <w:rPr>
                <w:rFonts w:eastAsia="方正书宋_GBK"/>
              </w:rPr>
            </w:pPr>
            <w:r>
              <w:rPr>
                <w:rFonts w:hint="eastAsia" w:eastAsia="方正书宋_GBK"/>
              </w:rPr>
              <w:t>一级</w:t>
            </w:r>
          </w:p>
        </w:tc>
        <w:tc>
          <w:tcPr>
            <w:tcW w:w="776" w:type="dxa"/>
            <w:tcBorders>
              <w:top w:val="single" w:color="000000" w:sz="6"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4CE18E12">
            <w:pPr>
              <w:widowControl w:val="0"/>
              <w:adjustRightInd w:val="0"/>
              <w:snapToGrid w:val="0"/>
              <w:jc w:val="center"/>
              <w:rPr>
                <w:rFonts w:eastAsia="方正书宋_GBK"/>
              </w:rPr>
            </w:pPr>
            <w:r>
              <w:rPr>
                <w:rFonts w:hint="eastAsia" w:eastAsia="方正书宋_GBK"/>
              </w:rPr>
              <w:t>二级</w:t>
            </w:r>
          </w:p>
        </w:tc>
        <w:tc>
          <w:tcPr>
            <w:tcW w:w="776" w:type="dxa"/>
            <w:tcBorders>
              <w:top w:val="single" w:color="000000" w:sz="6"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23512498">
            <w:pPr>
              <w:widowControl w:val="0"/>
              <w:adjustRightInd w:val="0"/>
              <w:snapToGrid w:val="0"/>
              <w:jc w:val="center"/>
              <w:rPr>
                <w:rFonts w:eastAsia="方正书宋_GBK"/>
              </w:rPr>
            </w:pPr>
            <w:r>
              <w:rPr>
                <w:rFonts w:hint="eastAsia" w:eastAsia="方正书宋_GBK"/>
              </w:rPr>
              <w:t>三级</w:t>
            </w:r>
          </w:p>
        </w:tc>
        <w:tc>
          <w:tcPr>
            <w:tcW w:w="776" w:type="dxa"/>
            <w:tcBorders>
              <w:top w:val="single" w:color="000000" w:sz="6"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07F120D3">
            <w:pPr>
              <w:widowControl w:val="0"/>
              <w:adjustRightInd w:val="0"/>
              <w:snapToGrid w:val="0"/>
              <w:jc w:val="center"/>
              <w:rPr>
                <w:rFonts w:eastAsia="方正书宋_GBK"/>
              </w:rPr>
            </w:pPr>
            <w:r>
              <w:rPr>
                <w:rFonts w:hint="eastAsia" w:eastAsia="方正书宋_GBK"/>
              </w:rPr>
              <w:t>四级</w:t>
            </w:r>
          </w:p>
        </w:tc>
        <w:tc>
          <w:tcPr>
            <w:tcW w:w="776" w:type="dxa"/>
            <w:tcBorders>
              <w:top w:val="single" w:color="000000" w:sz="6"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2B75789A">
            <w:pPr>
              <w:widowControl w:val="0"/>
              <w:adjustRightInd w:val="0"/>
              <w:snapToGrid w:val="0"/>
              <w:jc w:val="center"/>
              <w:rPr>
                <w:rFonts w:eastAsia="方正书宋_GBK"/>
              </w:rPr>
            </w:pPr>
            <w:r>
              <w:rPr>
                <w:rFonts w:hint="eastAsia" w:eastAsia="方正书宋_GBK"/>
              </w:rPr>
              <w:t>五级</w:t>
            </w:r>
          </w:p>
        </w:tc>
        <w:tc>
          <w:tcPr>
            <w:tcW w:w="776" w:type="dxa"/>
            <w:tcBorders>
              <w:top w:val="single" w:color="000000" w:sz="6"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783B6514">
            <w:pPr>
              <w:widowControl w:val="0"/>
              <w:adjustRightInd w:val="0"/>
              <w:snapToGrid w:val="0"/>
              <w:jc w:val="center"/>
              <w:rPr>
                <w:rFonts w:eastAsia="方正书宋_GBK"/>
              </w:rPr>
            </w:pPr>
            <w:r>
              <w:rPr>
                <w:rFonts w:hint="eastAsia" w:eastAsia="方正书宋_GBK"/>
              </w:rPr>
              <w:t>六级</w:t>
            </w:r>
          </w:p>
        </w:tc>
        <w:tc>
          <w:tcPr>
            <w:tcW w:w="776" w:type="dxa"/>
            <w:tcBorders>
              <w:top w:val="single" w:color="000000" w:sz="6"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0D7C94AF">
            <w:pPr>
              <w:widowControl w:val="0"/>
              <w:adjustRightInd w:val="0"/>
              <w:snapToGrid w:val="0"/>
              <w:jc w:val="center"/>
              <w:rPr>
                <w:rFonts w:eastAsia="方正书宋_GBK"/>
              </w:rPr>
            </w:pPr>
            <w:r>
              <w:rPr>
                <w:rFonts w:hint="eastAsia" w:eastAsia="方正书宋_GBK"/>
              </w:rPr>
              <w:t>七级</w:t>
            </w:r>
          </w:p>
        </w:tc>
        <w:tc>
          <w:tcPr>
            <w:tcW w:w="776" w:type="dxa"/>
            <w:tcBorders>
              <w:top w:val="single" w:color="000000" w:sz="6"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490479CB">
            <w:pPr>
              <w:widowControl w:val="0"/>
              <w:adjustRightInd w:val="0"/>
              <w:snapToGrid w:val="0"/>
              <w:jc w:val="center"/>
              <w:rPr>
                <w:rFonts w:eastAsia="方正书宋_GBK"/>
              </w:rPr>
            </w:pPr>
            <w:r>
              <w:rPr>
                <w:rFonts w:hint="eastAsia" w:eastAsia="方正书宋_GBK"/>
              </w:rPr>
              <w:t>八级</w:t>
            </w:r>
          </w:p>
        </w:tc>
        <w:tc>
          <w:tcPr>
            <w:tcW w:w="776" w:type="dxa"/>
            <w:tcBorders>
              <w:top w:val="single" w:color="000000" w:sz="6"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001C4E73">
            <w:pPr>
              <w:widowControl w:val="0"/>
              <w:adjustRightInd w:val="0"/>
              <w:snapToGrid w:val="0"/>
              <w:jc w:val="center"/>
              <w:rPr>
                <w:rFonts w:eastAsia="方正书宋_GBK"/>
              </w:rPr>
            </w:pPr>
            <w:r>
              <w:rPr>
                <w:rFonts w:hint="eastAsia" w:eastAsia="方正书宋_GBK"/>
              </w:rPr>
              <w:t>九级</w:t>
            </w:r>
          </w:p>
        </w:tc>
        <w:tc>
          <w:tcPr>
            <w:tcW w:w="776" w:type="dxa"/>
            <w:tcBorders>
              <w:top w:val="single" w:color="000000" w:sz="6"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14:paraId="617BD9A1">
            <w:pPr>
              <w:widowControl w:val="0"/>
              <w:adjustRightInd w:val="0"/>
              <w:snapToGrid w:val="0"/>
              <w:jc w:val="center"/>
              <w:rPr>
                <w:rFonts w:eastAsia="方正书宋_GBK"/>
              </w:rPr>
            </w:pPr>
            <w:r>
              <w:rPr>
                <w:rFonts w:hint="eastAsia" w:eastAsia="方正书宋_GBK"/>
              </w:rPr>
              <w:t>十级</w:t>
            </w:r>
          </w:p>
        </w:tc>
      </w:tr>
      <w:tr w14:paraId="3F8CBE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425" w:type="dxa"/>
            <w:tcBorders>
              <w:top w:val="single" w:color="000000" w:sz="2" w:space="0"/>
              <w:left w:val="single" w:color="000000" w:sz="6" w:space="0"/>
              <w:bottom w:val="single" w:color="000000" w:sz="2" w:space="0"/>
              <w:right w:val="single" w:color="000000" w:sz="2" w:space="0"/>
            </w:tcBorders>
            <w:noWrap w:val="0"/>
            <w:tcMar>
              <w:top w:w="23" w:type="dxa"/>
              <w:left w:w="23" w:type="dxa"/>
              <w:bottom w:w="23" w:type="dxa"/>
              <w:right w:w="23" w:type="dxa"/>
            </w:tcMar>
            <w:vAlign w:val="center"/>
          </w:tcPr>
          <w:p w14:paraId="48E2D076">
            <w:pPr>
              <w:widowControl w:val="0"/>
              <w:adjustRightInd w:val="0"/>
              <w:snapToGrid w:val="0"/>
              <w:jc w:val="center"/>
              <w:rPr>
                <w:rFonts w:eastAsia="方正书宋_GBK"/>
              </w:rPr>
            </w:pPr>
            <w:r>
              <w:rPr>
                <w:rFonts w:hint="eastAsia" w:eastAsia="方正书宋_GBK"/>
              </w:rPr>
              <w:t>大城市</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3D615FA4">
            <w:pPr>
              <w:widowControl w:val="0"/>
              <w:adjustRightInd w:val="0"/>
              <w:snapToGrid w:val="0"/>
              <w:jc w:val="center"/>
              <w:rPr>
                <w:rFonts w:eastAsia="方正书宋_GBK"/>
              </w:rPr>
            </w:pPr>
            <w:r>
              <w:rPr>
                <w:rFonts w:ascii="NEU-BZ"/>
              </w:rPr>
              <w:t>30</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7689C9F0">
            <w:pPr>
              <w:widowControl w:val="0"/>
              <w:adjustRightInd w:val="0"/>
              <w:snapToGrid w:val="0"/>
              <w:jc w:val="center"/>
              <w:rPr>
                <w:rFonts w:eastAsia="方正书宋_GBK"/>
              </w:rPr>
            </w:pPr>
            <w:r>
              <w:rPr>
                <w:rFonts w:ascii="NEU-BZ"/>
              </w:rPr>
              <w:t>25</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56ACB5B7">
            <w:pPr>
              <w:widowControl w:val="0"/>
              <w:adjustRightInd w:val="0"/>
              <w:snapToGrid w:val="0"/>
              <w:jc w:val="center"/>
              <w:rPr>
                <w:rFonts w:eastAsia="方正书宋_GBK"/>
              </w:rPr>
            </w:pPr>
            <w:r>
              <w:rPr>
                <w:rFonts w:ascii="NEU-BZ"/>
              </w:rPr>
              <w:t>20</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24B40F5D">
            <w:pPr>
              <w:widowControl w:val="0"/>
              <w:adjustRightInd w:val="0"/>
              <w:snapToGrid w:val="0"/>
              <w:jc w:val="center"/>
              <w:rPr>
                <w:rFonts w:eastAsia="方正书宋_GBK"/>
              </w:rPr>
            </w:pPr>
            <w:r>
              <w:rPr>
                <w:rFonts w:ascii="NEU-BZ"/>
              </w:rPr>
              <w:t>16</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6DACCBB8">
            <w:pPr>
              <w:widowControl w:val="0"/>
              <w:adjustRightInd w:val="0"/>
              <w:snapToGrid w:val="0"/>
              <w:jc w:val="center"/>
              <w:rPr>
                <w:rFonts w:eastAsia="方正书宋_GBK"/>
              </w:rPr>
            </w:pPr>
            <w:r>
              <w:rPr>
                <w:rFonts w:ascii="NEU-BZ"/>
              </w:rPr>
              <w:t>12</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749FD1FB">
            <w:pPr>
              <w:widowControl w:val="0"/>
              <w:adjustRightInd w:val="0"/>
              <w:snapToGrid w:val="0"/>
              <w:jc w:val="center"/>
              <w:rPr>
                <w:rFonts w:eastAsia="方正书宋_GBK"/>
              </w:rPr>
            </w:pPr>
            <w:r>
              <w:rPr>
                <w:rFonts w:ascii="NEU-BZ"/>
              </w:rPr>
              <w:t>8</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4BE2C9EA">
            <w:pPr>
              <w:widowControl w:val="0"/>
              <w:adjustRightInd w:val="0"/>
              <w:snapToGrid w:val="0"/>
              <w:jc w:val="center"/>
              <w:rPr>
                <w:rFonts w:eastAsia="方正书宋_GBK"/>
              </w:rPr>
            </w:pPr>
            <w:r>
              <w:rPr>
                <w:rFonts w:ascii="NEU-BZ"/>
              </w:rPr>
              <w:t>6</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4DF0EC44">
            <w:pPr>
              <w:widowControl w:val="0"/>
              <w:adjustRightInd w:val="0"/>
              <w:snapToGrid w:val="0"/>
              <w:jc w:val="center"/>
              <w:rPr>
                <w:rFonts w:eastAsia="方正书宋_GBK"/>
              </w:rPr>
            </w:pPr>
            <w:r>
              <w:rPr>
                <w:rFonts w:ascii="NEU-BZ"/>
              </w:rPr>
              <w:t>4</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363A1239">
            <w:pPr>
              <w:widowControl w:val="0"/>
              <w:adjustRightInd w:val="0"/>
              <w:snapToGrid w:val="0"/>
              <w:jc w:val="center"/>
              <w:rPr>
                <w:rFonts w:eastAsia="方正书宋_GBK"/>
              </w:rPr>
            </w:pPr>
            <w:r>
              <w:rPr>
                <w:rFonts w:ascii="NEU-BZ"/>
              </w:rPr>
              <w:t>3</w:t>
            </w:r>
          </w:p>
        </w:tc>
        <w:tc>
          <w:tcPr>
            <w:tcW w:w="776"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14:paraId="21C5C03F">
            <w:pPr>
              <w:widowControl w:val="0"/>
              <w:adjustRightInd w:val="0"/>
              <w:snapToGrid w:val="0"/>
              <w:jc w:val="center"/>
              <w:rPr>
                <w:rFonts w:eastAsia="方正书宋_GBK"/>
              </w:rPr>
            </w:pPr>
            <w:r>
              <w:rPr>
                <w:rFonts w:ascii="NEU-BZ"/>
              </w:rPr>
              <w:t>1.5</w:t>
            </w:r>
          </w:p>
        </w:tc>
      </w:tr>
      <w:tr w14:paraId="4A0B6F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425" w:type="dxa"/>
            <w:tcBorders>
              <w:top w:val="single" w:color="000000" w:sz="2" w:space="0"/>
              <w:left w:val="single" w:color="000000" w:sz="6" w:space="0"/>
              <w:bottom w:val="single" w:color="000000" w:sz="2" w:space="0"/>
              <w:right w:val="single" w:color="000000" w:sz="2" w:space="0"/>
            </w:tcBorders>
            <w:noWrap w:val="0"/>
            <w:tcMar>
              <w:top w:w="23" w:type="dxa"/>
              <w:left w:w="23" w:type="dxa"/>
              <w:bottom w:w="23" w:type="dxa"/>
              <w:right w:w="23" w:type="dxa"/>
            </w:tcMar>
            <w:vAlign w:val="center"/>
          </w:tcPr>
          <w:p w14:paraId="6D810206">
            <w:pPr>
              <w:widowControl w:val="0"/>
              <w:adjustRightInd w:val="0"/>
              <w:snapToGrid w:val="0"/>
              <w:jc w:val="center"/>
              <w:rPr>
                <w:rFonts w:eastAsia="方正书宋_GBK"/>
              </w:rPr>
            </w:pPr>
            <w:r>
              <w:rPr>
                <w:rFonts w:hint="eastAsia" w:eastAsia="方正书宋_GBK"/>
              </w:rPr>
              <w:t>中等城市</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6DD270E6">
            <w:pPr>
              <w:widowControl w:val="0"/>
              <w:adjustRightInd w:val="0"/>
              <w:snapToGrid w:val="0"/>
              <w:jc w:val="center"/>
              <w:rPr>
                <w:rFonts w:eastAsia="方正书宋_GBK"/>
              </w:rPr>
            </w:pPr>
            <w:r>
              <w:rPr>
                <w:rFonts w:ascii="NEU-BZ"/>
              </w:rPr>
              <w:t>24</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30ADABAD">
            <w:pPr>
              <w:widowControl w:val="0"/>
              <w:adjustRightInd w:val="0"/>
              <w:snapToGrid w:val="0"/>
              <w:jc w:val="center"/>
              <w:rPr>
                <w:rFonts w:eastAsia="方正书宋_GBK"/>
              </w:rPr>
            </w:pPr>
            <w:r>
              <w:rPr>
                <w:rFonts w:ascii="NEU-BZ"/>
              </w:rPr>
              <w:t>20</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23D8CCC9">
            <w:pPr>
              <w:widowControl w:val="0"/>
              <w:adjustRightInd w:val="0"/>
              <w:snapToGrid w:val="0"/>
              <w:jc w:val="center"/>
              <w:rPr>
                <w:rFonts w:eastAsia="方正书宋_GBK"/>
              </w:rPr>
            </w:pPr>
            <w:r>
              <w:rPr>
                <w:rFonts w:ascii="NEU-BZ"/>
              </w:rPr>
              <w:t>16</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2792AA1B">
            <w:pPr>
              <w:widowControl w:val="0"/>
              <w:adjustRightInd w:val="0"/>
              <w:snapToGrid w:val="0"/>
              <w:jc w:val="center"/>
              <w:rPr>
                <w:rFonts w:eastAsia="方正书宋_GBK"/>
              </w:rPr>
            </w:pPr>
            <w:r>
              <w:rPr>
                <w:rFonts w:ascii="NEU-BZ"/>
              </w:rPr>
              <w:t>12</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1F51543D">
            <w:pPr>
              <w:widowControl w:val="0"/>
              <w:adjustRightInd w:val="0"/>
              <w:snapToGrid w:val="0"/>
              <w:jc w:val="center"/>
              <w:rPr>
                <w:rFonts w:eastAsia="方正书宋_GBK"/>
              </w:rPr>
            </w:pPr>
            <w:r>
              <w:rPr>
                <w:rFonts w:ascii="NEU-BZ"/>
              </w:rPr>
              <w:t>8</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5126D7D8">
            <w:pPr>
              <w:widowControl w:val="0"/>
              <w:adjustRightInd w:val="0"/>
              <w:snapToGrid w:val="0"/>
              <w:jc w:val="center"/>
              <w:rPr>
                <w:rFonts w:eastAsia="方正书宋_GBK"/>
              </w:rPr>
            </w:pPr>
            <w:r>
              <w:rPr>
                <w:rFonts w:ascii="NEU-BZ"/>
              </w:rPr>
              <w:t>6</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28EA7F4A">
            <w:pPr>
              <w:widowControl w:val="0"/>
              <w:adjustRightInd w:val="0"/>
              <w:snapToGrid w:val="0"/>
              <w:jc w:val="center"/>
              <w:rPr>
                <w:rFonts w:eastAsia="方正书宋_GBK"/>
              </w:rPr>
            </w:pPr>
            <w:r>
              <w:rPr>
                <w:rFonts w:ascii="NEU-BZ"/>
              </w:rPr>
              <w:t>4</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674F18CC">
            <w:pPr>
              <w:widowControl w:val="0"/>
              <w:adjustRightInd w:val="0"/>
              <w:snapToGrid w:val="0"/>
              <w:jc w:val="center"/>
              <w:rPr>
                <w:rFonts w:eastAsia="方正书宋_GBK"/>
              </w:rPr>
            </w:pPr>
            <w:r>
              <w:rPr>
                <w:rFonts w:ascii="NEU-BZ"/>
              </w:rPr>
              <w:t>3</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0D601840">
            <w:pPr>
              <w:widowControl w:val="0"/>
              <w:adjustRightInd w:val="0"/>
              <w:snapToGrid w:val="0"/>
              <w:jc w:val="center"/>
              <w:rPr>
                <w:rFonts w:eastAsia="方正书宋_GBK"/>
              </w:rPr>
            </w:pPr>
            <w:r>
              <w:rPr>
                <w:rFonts w:ascii="NEU-BZ"/>
              </w:rPr>
              <w:t>2</w:t>
            </w:r>
          </w:p>
        </w:tc>
        <w:tc>
          <w:tcPr>
            <w:tcW w:w="776"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14:paraId="42B514C9">
            <w:pPr>
              <w:widowControl w:val="0"/>
              <w:adjustRightInd w:val="0"/>
              <w:snapToGrid w:val="0"/>
              <w:jc w:val="center"/>
              <w:rPr>
                <w:rFonts w:eastAsia="方正书宋_GBK"/>
              </w:rPr>
            </w:pPr>
            <w:r>
              <w:rPr>
                <w:rFonts w:ascii="NEU-BZ"/>
              </w:rPr>
              <w:t>1.2</w:t>
            </w:r>
          </w:p>
        </w:tc>
      </w:tr>
      <w:tr w14:paraId="732DD3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425" w:type="dxa"/>
            <w:tcBorders>
              <w:top w:val="single" w:color="000000" w:sz="2" w:space="0"/>
              <w:left w:val="single" w:color="000000" w:sz="6" w:space="0"/>
              <w:bottom w:val="single" w:color="000000" w:sz="2" w:space="0"/>
              <w:right w:val="single" w:color="000000" w:sz="2" w:space="0"/>
            </w:tcBorders>
            <w:noWrap w:val="0"/>
            <w:tcMar>
              <w:top w:w="23" w:type="dxa"/>
              <w:left w:w="23" w:type="dxa"/>
              <w:bottom w:w="23" w:type="dxa"/>
              <w:right w:w="23" w:type="dxa"/>
            </w:tcMar>
            <w:vAlign w:val="center"/>
          </w:tcPr>
          <w:p w14:paraId="7CD1ABB3">
            <w:pPr>
              <w:widowControl w:val="0"/>
              <w:adjustRightInd w:val="0"/>
              <w:snapToGrid w:val="0"/>
              <w:jc w:val="center"/>
              <w:rPr>
                <w:rFonts w:eastAsia="方正书宋_GBK"/>
              </w:rPr>
            </w:pPr>
            <w:r>
              <w:rPr>
                <w:rFonts w:hint="eastAsia" w:eastAsia="方正书宋_GBK"/>
              </w:rPr>
              <w:t>小城市</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3C438B2B">
            <w:pPr>
              <w:widowControl w:val="0"/>
              <w:adjustRightInd w:val="0"/>
              <w:snapToGrid w:val="0"/>
              <w:jc w:val="center"/>
              <w:rPr>
                <w:rFonts w:eastAsia="方正书宋_GBK"/>
              </w:rPr>
            </w:pPr>
            <w:r>
              <w:rPr>
                <w:rFonts w:ascii="NEU-BZ"/>
              </w:rPr>
              <w:t>18</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524F766C">
            <w:pPr>
              <w:widowControl w:val="0"/>
              <w:adjustRightInd w:val="0"/>
              <w:snapToGrid w:val="0"/>
              <w:jc w:val="center"/>
              <w:rPr>
                <w:rFonts w:eastAsia="方正书宋_GBK"/>
              </w:rPr>
            </w:pPr>
            <w:r>
              <w:rPr>
                <w:rFonts w:ascii="NEU-BZ"/>
              </w:rPr>
              <w:t>16</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7B54DE3A">
            <w:pPr>
              <w:widowControl w:val="0"/>
              <w:adjustRightInd w:val="0"/>
              <w:snapToGrid w:val="0"/>
              <w:jc w:val="center"/>
              <w:rPr>
                <w:rFonts w:eastAsia="方正书宋_GBK"/>
              </w:rPr>
            </w:pPr>
            <w:r>
              <w:rPr>
                <w:rFonts w:ascii="NEU-BZ"/>
              </w:rPr>
              <w:t>12</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357B4833">
            <w:pPr>
              <w:widowControl w:val="0"/>
              <w:adjustRightInd w:val="0"/>
              <w:snapToGrid w:val="0"/>
              <w:jc w:val="center"/>
              <w:rPr>
                <w:rFonts w:eastAsia="方正书宋_GBK"/>
              </w:rPr>
            </w:pPr>
            <w:r>
              <w:rPr>
                <w:rFonts w:ascii="NEU-BZ"/>
              </w:rPr>
              <w:t>10</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014BA974">
            <w:pPr>
              <w:widowControl w:val="0"/>
              <w:adjustRightInd w:val="0"/>
              <w:snapToGrid w:val="0"/>
              <w:jc w:val="center"/>
              <w:rPr>
                <w:rFonts w:eastAsia="方正书宋_GBK"/>
              </w:rPr>
            </w:pPr>
            <w:r>
              <w:rPr>
                <w:rFonts w:ascii="NEU-BZ"/>
              </w:rPr>
              <w:t>8</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06E5C1F4">
            <w:pPr>
              <w:widowControl w:val="0"/>
              <w:adjustRightInd w:val="0"/>
              <w:snapToGrid w:val="0"/>
              <w:jc w:val="center"/>
              <w:rPr>
                <w:rFonts w:eastAsia="方正书宋_GBK"/>
              </w:rPr>
            </w:pPr>
            <w:r>
              <w:rPr>
                <w:rFonts w:ascii="NEU-BZ"/>
              </w:rPr>
              <w:t>6</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33671CEC">
            <w:pPr>
              <w:widowControl w:val="0"/>
              <w:adjustRightInd w:val="0"/>
              <w:snapToGrid w:val="0"/>
              <w:jc w:val="center"/>
              <w:rPr>
                <w:rFonts w:eastAsia="方正书宋_GBK"/>
              </w:rPr>
            </w:pPr>
            <w:r>
              <w:rPr>
                <w:rFonts w:ascii="NEU-BZ"/>
              </w:rPr>
              <w:t>4</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3DA5CDA8">
            <w:pPr>
              <w:widowControl w:val="0"/>
              <w:adjustRightInd w:val="0"/>
              <w:snapToGrid w:val="0"/>
              <w:jc w:val="center"/>
              <w:rPr>
                <w:rFonts w:eastAsia="方正书宋_GBK"/>
              </w:rPr>
            </w:pPr>
            <w:r>
              <w:rPr>
                <w:rFonts w:ascii="NEU-BZ"/>
              </w:rPr>
              <w:t>3</w:t>
            </w:r>
          </w:p>
        </w:tc>
        <w:tc>
          <w:tcPr>
            <w:tcW w:w="776"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14:paraId="386EDA8A">
            <w:pPr>
              <w:widowControl w:val="0"/>
              <w:adjustRightInd w:val="0"/>
              <w:snapToGrid w:val="0"/>
              <w:jc w:val="center"/>
              <w:rPr>
                <w:rFonts w:eastAsia="方正书宋_GBK"/>
              </w:rPr>
            </w:pPr>
            <w:r>
              <w:rPr>
                <w:rFonts w:ascii="NEU-BZ"/>
              </w:rPr>
              <w:t>2</w:t>
            </w:r>
          </w:p>
        </w:tc>
        <w:tc>
          <w:tcPr>
            <w:tcW w:w="776"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14:paraId="0D24771F">
            <w:pPr>
              <w:widowControl w:val="0"/>
              <w:adjustRightInd w:val="0"/>
              <w:snapToGrid w:val="0"/>
              <w:jc w:val="center"/>
              <w:rPr>
                <w:rFonts w:eastAsia="方正书宋_GBK"/>
              </w:rPr>
            </w:pPr>
            <w:r>
              <w:rPr>
                <w:rFonts w:ascii="NEU-BZ"/>
              </w:rPr>
              <w:t>0.9</w:t>
            </w:r>
          </w:p>
        </w:tc>
      </w:tr>
      <w:tr w14:paraId="297C61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425" w:type="dxa"/>
            <w:tcBorders>
              <w:top w:val="single" w:color="000000" w:sz="2" w:space="0"/>
              <w:left w:val="single" w:color="000000" w:sz="6" w:space="0"/>
              <w:bottom w:val="single" w:color="000000" w:sz="6" w:space="0"/>
              <w:right w:val="single" w:color="000000" w:sz="2" w:space="0"/>
            </w:tcBorders>
            <w:noWrap w:val="0"/>
            <w:tcMar>
              <w:top w:w="23" w:type="dxa"/>
              <w:left w:w="23" w:type="dxa"/>
              <w:bottom w:w="23" w:type="dxa"/>
              <w:right w:w="23" w:type="dxa"/>
            </w:tcMar>
            <w:vAlign w:val="center"/>
          </w:tcPr>
          <w:p w14:paraId="119A950A">
            <w:pPr>
              <w:widowControl w:val="0"/>
              <w:adjustRightInd w:val="0"/>
              <w:snapToGrid w:val="0"/>
              <w:jc w:val="center"/>
              <w:rPr>
                <w:rFonts w:eastAsia="方正书宋_GBK"/>
              </w:rPr>
            </w:pPr>
            <w:r>
              <w:rPr>
                <w:rFonts w:hint="eastAsia" w:eastAsia="方正书宋_GBK"/>
              </w:rPr>
              <w:t>县城、建制镇、工矿区</w:t>
            </w:r>
          </w:p>
        </w:tc>
        <w:tc>
          <w:tcPr>
            <w:tcW w:w="776" w:type="dxa"/>
            <w:tcBorders>
              <w:top w:val="single" w:color="000000" w:sz="2" w:space="0"/>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14:paraId="07FE317C">
            <w:pPr>
              <w:widowControl w:val="0"/>
              <w:adjustRightInd w:val="0"/>
              <w:snapToGrid w:val="0"/>
              <w:jc w:val="center"/>
              <w:rPr>
                <w:rFonts w:eastAsia="方正书宋_GBK"/>
              </w:rPr>
            </w:pPr>
            <w:r>
              <w:rPr>
                <w:rFonts w:ascii="NEU-BZ"/>
              </w:rPr>
              <w:t>12</w:t>
            </w:r>
          </w:p>
        </w:tc>
        <w:tc>
          <w:tcPr>
            <w:tcW w:w="776" w:type="dxa"/>
            <w:tcBorders>
              <w:top w:val="single" w:color="000000" w:sz="2" w:space="0"/>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14:paraId="30ECC361">
            <w:pPr>
              <w:widowControl w:val="0"/>
              <w:adjustRightInd w:val="0"/>
              <w:snapToGrid w:val="0"/>
              <w:jc w:val="center"/>
              <w:rPr>
                <w:rFonts w:eastAsia="方正书宋_GBK"/>
              </w:rPr>
            </w:pPr>
            <w:r>
              <w:rPr>
                <w:rFonts w:ascii="NEU-BZ"/>
              </w:rPr>
              <w:t>10</w:t>
            </w:r>
          </w:p>
        </w:tc>
        <w:tc>
          <w:tcPr>
            <w:tcW w:w="776" w:type="dxa"/>
            <w:tcBorders>
              <w:top w:val="single" w:color="000000" w:sz="2" w:space="0"/>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14:paraId="406457DC">
            <w:pPr>
              <w:widowControl w:val="0"/>
              <w:adjustRightInd w:val="0"/>
              <w:snapToGrid w:val="0"/>
              <w:jc w:val="center"/>
              <w:rPr>
                <w:rFonts w:eastAsia="方正书宋_GBK"/>
              </w:rPr>
            </w:pPr>
            <w:r>
              <w:rPr>
                <w:rFonts w:ascii="NEU-BZ"/>
              </w:rPr>
              <w:t>8</w:t>
            </w:r>
          </w:p>
        </w:tc>
        <w:tc>
          <w:tcPr>
            <w:tcW w:w="776" w:type="dxa"/>
            <w:tcBorders>
              <w:top w:val="single" w:color="000000" w:sz="2" w:space="0"/>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14:paraId="7092CB1E">
            <w:pPr>
              <w:widowControl w:val="0"/>
              <w:adjustRightInd w:val="0"/>
              <w:snapToGrid w:val="0"/>
              <w:jc w:val="center"/>
              <w:rPr>
                <w:rFonts w:eastAsia="方正书宋_GBK"/>
              </w:rPr>
            </w:pPr>
            <w:r>
              <w:rPr>
                <w:rFonts w:ascii="NEU-BZ"/>
              </w:rPr>
              <w:t>6</w:t>
            </w:r>
          </w:p>
        </w:tc>
        <w:tc>
          <w:tcPr>
            <w:tcW w:w="776" w:type="dxa"/>
            <w:tcBorders>
              <w:top w:val="single" w:color="000000" w:sz="2" w:space="0"/>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14:paraId="6807E45E">
            <w:pPr>
              <w:widowControl w:val="0"/>
              <w:adjustRightInd w:val="0"/>
              <w:snapToGrid w:val="0"/>
              <w:jc w:val="center"/>
              <w:rPr>
                <w:rFonts w:eastAsia="方正书宋_GBK"/>
              </w:rPr>
            </w:pPr>
            <w:r>
              <w:rPr>
                <w:rFonts w:ascii="NEU-BZ"/>
              </w:rPr>
              <w:t>5</w:t>
            </w:r>
          </w:p>
        </w:tc>
        <w:tc>
          <w:tcPr>
            <w:tcW w:w="776" w:type="dxa"/>
            <w:tcBorders>
              <w:top w:val="single" w:color="000000" w:sz="2" w:space="0"/>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14:paraId="01A14150">
            <w:pPr>
              <w:widowControl w:val="0"/>
              <w:adjustRightInd w:val="0"/>
              <w:snapToGrid w:val="0"/>
              <w:jc w:val="center"/>
              <w:rPr>
                <w:rFonts w:eastAsia="方正书宋_GBK"/>
              </w:rPr>
            </w:pPr>
            <w:r>
              <w:rPr>
                <w:rFonts w:ascii="NEU-BZ"/>
              </w:rPr>
              <w:t>4</w:t>
            </w:r>
          </w:p>
        </w:tc>
        <w:tc>
          <w:tcPr>
            <w:tcW w:w="776" w:type="dxa"/>
            <w:tcBorders>
              <w:top w:val="single" w:color="000000" w:sz="2" w:space="0"/>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14:paraId="3170AAA5">
            <w:pPr>
              <w:widowControl w:val="0"/>
              <w:adjustRightInd w:val="0"/>
              <w:snapToGrid w:val="0"/>
              <w:jc w:val="center"/>
              <w:rPr>
                <w:rFonts w:eastAsia="方正书宋_GBK"/>
              </w:rPr>
            </w:pPr>
            <w:r>
              <w:rPr>
                <w:rFonts w:ascii="NEU-BZ"/>
              </w:rPr>
              <w:t>3</w:t>
            </w:r>
          </w:p>
        </w:tc>
        <w:tc>
          <w:tcPr>
            <w:tcW w:w="776" w:type="dxa"/>
            <w:tcBorders>
              <w:top w:val="single" w:color="000000" w:sz="2" w:space="0"/>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14:paraId="7C7507B2">
            <w:pPr>
              <w:widowControl w:val="0"/>
              <w:adjustRightInd w:val="0"/>
              <w:snapToGrid w:val="0"/>
              <w:jc w:val="center"/>
              <w:rPr>
                <w:rFonts w:eastAsia="方正书宋_GBK"/>
              </w:rPr>
            </w:pPr>
            <w:r>
              <w:rPr>
                <w:rFonts w:ascii="NEU-BZ"/>
              </w:rPr>
              <w:t>2</w:t>
            </w:r>
          </w:p>
        </w:tc>
        <w:tc>
          <w:tcPr>
            <w:tcW w:w="776" w:type="dxa"/>
            <w:tcBorders>
              <w:top w:val="single" w:color="000000" w:sz="2" w:space="0"/>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14:paraId="1B6F2E48">
            <w:pPr>
              <w:widowControl w:val="0"/>
              <w:adjustRightInd w:val="0"/>
              <w:snapToGrid w:val="0"/>
              <w:jc w:val="center"/>
              <w:rPr>
                <w:rFonts w:eastAsia="方正书宋_GBK"/>
              </w:rPr>
            </w:pPr>
            <w:r>
              <w:rPr>
                <w:rFonts w:ascii="NEU-BZ"/>
              </w:rPr>
              <w:t>1</w:t>
            </w:r>
          </w:p>
        </w:tc>
        <w:tc>
          <w:tcPr>
            <w:tcW w:w="776" w:type="dxa"/>
            <w:tcBorders>
              <w:top w:val="single" w:color="000000" w:sz="2" w:space="0"/>
              <w:left w:val="single" w:color="000000" w:sz="2" w:space="0"/>
              <w:bottom w:val="single" w:color="000000" w:sz="6" w:space="0"/>
              <w:right w:val="single" w:color="000000" w:sz="6" w:space="0"/>
            </w:tcBorders>
            <w:noWrap w:val="0"/>
            <w:tcMar>
              <w:top w:w="23" w:type="dxa"/>
              <w:left w:w="23" w:type="dxa"/>
              <w:bottom w:w="23" w:type="dxa"/>
              <w:right w:w="23" w:type="dxa"/>
            </w:tcMar>
            <w:vAlign w:val="center"/>
          </w:tcPr>
          <w:p w14:paraId="2D43D596">
            <w:pPr>
              <w:widowControl w:val="0"/>
              <w:adjustRightInd w:val="0"/>
              <w:snapToGrid w:val="0"/>
              <w:jc w:val="center"/>
              <w:rPr>
                <w:rFonts w:eastAsia="方正书宋_GBK"/>
              </w:rPr>
            </w:pPr>
            <w:r>
              <w:rPr>
                <w:rFonts w:ascii="NEU-BZ"/>
              </w:rPr>
              <w:t>0.6</w:t>
            </w:r>
          </w:p>
        </w:tc>
      </w:tr>
    </w:tbl>
    <w:p w14:paraId="0A7AA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A1C7FD-63AB-4B76-A70D-708E763555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NEU-BZ">
    <w:altName w:val="宋体"/>
    <w:panose1 w:val="02010600010101010101"/>
    <w:charset w:val="86"/>
    <w:family w:val="auto"/>
    <w:pitch w:val="default"/>
    <w:sig w:usb0="00000000" w:usb1="00000000" w:usb2="00000016" w:usb3="00000000" w:csb0="00040001" w:csb1="00000000"/>
    <w:embedRegular r:id="rId2" w:fontKey="{05DB014E-64D5-4C5B-8E18-DA8CF3B42F8D}"/>
  </w:font>
  <w:font w:name="方正书宋简体">
    <w:altName w:val="宋体"/>
    <w:panose1 w:val="03000509000000000000"/>
    <w:charset w:val="86"/>
    <w:family w:val="script"/>
    <w:pitch w:val="default"/>
    <w:sig w:usb0="00000000" w:usb1="00000000" w:usb2="00000010" w:usb3="00000000" w:csb0="00040000" w:csb1="00000000"/>
    <w:embedRegular r:id="rId3" w:fontKey="{DC8A16CD-9315-48A3-AEE2-69C33B826994}"/>
  </w:font>
  <w:font w:name="仿宋_GB2312">
    <w:panose1 w:val="02010609030101010101"/>
    <w:charset w:val="86"/>
    <w:family w:val="auto"/>
    <w:pitch w:val="default"/>
    <w:sig w:usb0="00000001" w:usb1="080E0000" w:usb2="00000000" w:usb3="00000000" w:csb0="00040000" w:csb1="00000000"/>
    <w:embedRegular r:id="rId4" w:fontKey="{8297AE2E-5D95-4B8A-80CF-E81AE96D549F}"/>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embedRegular r:id="rId5" w:fontKey="{7B9ECD30-F183-4A05-B0E5-766D11F79F74}"/>
  </w:font>
  <w:font w:name="方正小标宋简体">
    <w:panose1 w:val="03000509000000000000"/>
    <w:charset w:val="86"/>
    <w:family w:val="auto"/>
    <w:pitch w:val="default"/>
    <w:sig w:usb0="00000001" w:usb1="080E0000" w:usb2="00000000" w:usb3="00000000" w:csb0="00040000" w:csb1="00000000"/>
    <w:embedRegular r:id="rId6" w:fontKey="{6B4414E6-5158-48E9-B7D0-1FFA95B6F4B4}"/>
  </w:font>
  <w:font w:name="方正书宋_GBK">
    <w:panose1 w:val="02000000000000000000"/>
    <w:charset w:val="86"/>
    <w:family w:val="script"/>
    <w:pitch w:val="default"/>
    <w:sig w:usb0="A00002BF" w:usb1="38CF7CFA" w:usb2="00082016" w:usb3="00000000" w:csb0="00040001" w:csb1="00000000"/>
    <w:embedRegular r:id="rId7" w:fontKey="{C253069E-CDF8-4301-BF60-7F3F16062339}"/>
  </w:font>
  <w:font w:name="仿宋">
    <w:panose1 w:val="02010609060101010101"/>
    <w:charset w:val="86"/>
    <w:family w:val="auto"/>
    <w:pitch w:val="default"/>
    <w:sig w:usb0="800002BF" w:usb1="38CF7CFA" w:usb2="00000016" w:usb3="00000000" w:csb0="00040001" w:csb1="00000000"/>
    <w:embedRegular r:id="rId8" w:fontKey="{99EBF1F2-D148-4D27-B0CA-319AF22C36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91F6">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5CB56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A5CB56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21CC225">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14:paraId="1E82BAE3">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914A">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26E1EB28">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ZWUxNWQyMmYwOGY5YmYyNDkyNzVmZDU1YmI4YzMifQ=="/>
  </w:docVars>
  <w:rsids>
    <w:rsidRoot w:val="7C9011D9"/>
    <w:rsid w:val="019E71BD"/>
    <w:rsid w:val="06A67E67"/>
    <w:rsid w:val="080F63D8"/>
    <w:rsid w:val="09341458"/>
    <w:rsid w:val="152D2DCA"/>
    <w:rsid w:val="22440422"/>
    <w:rsid w:val="25493139"/>
    <w:rsid w:val="28F000B8"/>
    <w:rsid w:val="2EC36016"/>
    <w:rsid w:val="30654C8A"/>
    <w:rsid w:val="31A15F24"/>
    <w:rsid w:val="323E53D3"/>
    <w:rsid w:val="39A232A0"/>
    <w:rsid w:val="3B5A6BBB"/>
    <w:rsid w:val="3EDA13A6"/>
    <w:rsid w:val="42AF29E4"/>
    <w:rsid w:val="42F058B7"/>
    <w:rsid w:val="431E3889"/>
    <w:rsid w:val="436109F6"/>
    <w:rsid w:val="441A38D4"/>
    <w:rsid w:val="4BC77339"/>
    <w:rsid w:val="4C9236C5"/>
    <w:rsid w:val="4CBD60FF"/>
    <w:rsid w:val="52F46F0B"/>
    <w:rsid w:val="54013021"/>
    <w:rsid w:val="55E064E0"/>
    <w:rsid w:val="5DF1185B"/>
    <w:rsid w:val="608816D1"/>
    <w:rsid w:val="63994F62"/>
    <w:rsid w:val="6D0E3F22"/>
    <w:rsid w:val="7B530ACB"/>
    <w:rsid w:val="7C9011D9"/>
    <w:rsid w:val="7DC651C5"/>
    <w:rsid w:val="7EB51F05"/>
    <w:rsid w:val="7F2306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1">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2">
    <w:name w:val="样式 15.5正文（楷体） 小节 + 首行缩进:  2 字符"/>
    <w:basedOn w:val="13"/>
    <w:qFormat/>
    <w:uiPriority w:val="0"/>
    <w:pPr>
      <w:widowControl w:val="0"/>
      <w:spacing w:before="100" w:beforeLines="100" w:after="100" w:afterLines="100" w:line="600" w:lineRule="exact"/>
      <w:ind w:firstLine="0" w:firstLineChars="0"/>
    </w:pPr>
    <w:rPr>
      <w:rFonts w:cs="宋体"/>
      <w:szCs w:val="20"/>
    </w:rPr>
  </w:style>
  <w:style w:type="paragraph" w:customStyle="1" w:styleId="13">
    <w:name w:val="15.5正文（楷体） 小节"/>
    <w:basedOn w:val="1"/>
    <w:qFormat/>
    <w:uiPriority w:val="0"/>
    <w:pPr>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1415</Words>
  <Characters>1487</Characters>
  <Lines>0</Lines>
  <Paragraphs>0</Paragraphs>
  <TotalTime>7</TotalTime>
  <ScaleCrop>false</ScaleCrop>
  <LinksUpToDate>false</LinksUpToDate>
  <CharactersWithSpaces>1512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2026-01-23T07:50:57Z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97E994D8CA0A4E7EA1A0BDF479B49DB5_13</vt:lpwstr>
  </property>
  <property fmtid="{D5CDD505-2E9C-101B-9397-08002B2CF9AE}" pid="4" name="KSOTemplateDocerSaveRecord">
    <vt:lpwstr>eyJoZGlkIjoiODQ1NWRmZjg1Njg3Yzc1NjM1YjBmMDI2MmNkYThhYTQiLCJ1c2VySWQiOiIxNjk3MDc5NDkwIn0=</vt:lpwstr>
  </property>
</Properties>
</file>