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206D">
      <w:pPr>
        <w:pStyle w:val="15"/>
        <w:widowControl/>
        <w:shd w:val="clear" w:color="auto" w:fill="FFFFFF"/>
        <w:spacing w:before="0" w:beforeAutospacing="0" w:after="0" w:afterAutospacing="0" w:line="560" w:lineRule="exact"/>
        <w:jc w:val="both"/>
        <w:rPr>
          <w:rStyle w:val="19"/>
          <w:rFonts w:ascii="Times New Roman" w:hAnsi="Times New Roman" w:eastAsia="方正小标宋简体"/>
          <w:b w:val="0"/>
          <w:bCs/>
          <w:color w:val="000000"/>
          <w:sz w:val="32"/>
          <w:szCs w:val="32"/>
          <w:shd w:val="clear" w:color="auto" w:fill="FFFFFF"/>
        </w:rPr>
      </w:pPr>
      <w:r>
        <w:rPr>
          <w:rStyle w:val="19"/>
          <w:rFonts w:ascii="Times New Roman" w:hAnsi="Times New Roman" w:eastAsia="方正小标宋简体"/>
          <w:b w:val="0"/>
          <w:bCs/>
          <w:color w:val="000000"/>
          <w:sz w:val="32"/>
          <w:szCs w:val="32"/>
          <w:shd w:val="clear" w:color="auto" w:fill="FFFFFF"/>
        </w:rPr>
        <w:t>HNPR—2025—00007</w:t>
      </w:r>
    </w:p>
    <w:p w14:paraId="0D405592">
      <w:pPr>
        <w:pStyle w:val="15"/>
        <w:widowControl/>
        <w:shd w:val="clear" w:color="auto" w:fill="FFFFFF"/>
        <w:spacing w:before="0" w:beforeAutospacing="0" w:after="0" w:afterAutospacing="0" w:line="560" w:lineRule="exact"/>
        <w:jc w:val="both"/>
        <w:rPr>
          <w:rStyle w:val="19"/>
          <w:rFonts w:ascii="Times New Roman" w:hAnsi="Times New Roman" w:eastAsia="方正小标宋简体"/>
          <w:b w:val="0"/>
          <w:bCs/>
          <w:color w:val="000000"/>
          <w:sz w:val="44"/>
          <w:szCs w:val="44"/>
          <w:shd w:val="clear" w:color="auto" w:fill="FFFFFF"/>
        </w:rPr>
      </w:pPr>
    </w:p>
    <w:p w14:paraId="0EFDA69A">
      <w:pPr>
        <w:adjustRightInd w:val="0"/>
        <w:snapToGrid w:val="0"/>
        <w:spacing w:line="596" w:lineRule="exact"/>
        <w:jc w:val="center"/>
        <w:rPr>
          <w:rFonts w:ascii="Times New Roman" w:hAnsi="Times New Roman" w:eastAsia="方正小标宋简体"/>
          <w:sz w:val="44"/>
          <w:szCs w:val="44"/>
        </w:rPr>
      </w:pPr>
      <w:bookmarkStart w:id="1" w:name="_GoBack"/>
      <w:bookmarkEnd w:id="1"/>
      <w:r>
        <w:rPr>
          <w:rFonts w:ascii="Times New Roman" w:eastAsia="方正小标宋简体"/>
          <w:sz w:val="44"/>
          <w:szCs w:val="44"/>
        </w:rPr>
        <w:t>湖南省人民政府</w:t>
      </w:r>
    </w:p>
    <w:p w14:paraId="0E577FB5">
      <w:pPr>
        <w:spacing w:line="596" w:lineRule="exact"/>
        <w:jc w:val="center"/>
        <w:rPr>
          <w:rFonts w:ascii="Times New Roman" w:hAnsi="Times New Roman" w:eastAsia="方正小标宋简体"/>
          <w:sz w:val="44"/>
          <w:szCs w:val="44"/>
        </w:rPr>
      </w:pPr>
      <w:r>
        <w:rPr>
          <w:rFonts w:ascii="Times New Roman" w:eastAsia="方正小标宋简体"/>
          <w:sz w:val="44"/>
          <w:szCs w:val="44"/>
        </w:rPr>
        <w:t>关于印发《湖南省贯彻落实国务院</w:t>
      </w:r>
    </w:p>
    <w:p w14:paraId="5D3F5F7D">
      <w:pPr>
        <w:spacing w:line="596" w:lineRule="exact"/>
        <w:jc w:val="center"/>
        <w:rPr>
          <w:rFonts w:ascii="Times New Roman" w:hAnsi="Times New Roman" w:eastAsia="方正小标宋简体"/>
          <w:sz w:val="44"/>
          <w:szCs w:val="44"/>
        </w:rPr>
      </w:pPr>
      <w:r>
        <w:rPr>
          <w:rFonts w:hint="eastAsia" w:ascii="仿宋_GB2312" w:hAnsi="Times New Roman" w:eastAsia="仿宋_GB2312"/>
          <w:sz w:val="44"/>
          <w:szCs w:val="44"/>
        </w:rPr>
        <w:t>“</w:t>
      </w:r>
      <w:r>
        <w:rPr>
          <w:rFonts w:ascii="Times New Roman" w:eastAsia="方正小标宋简体"/>
          <w:sz w:val="44"/>
          <w:szCs w:val="44"/>
        </w:rPr>
        <w:t>人工智能</w:t>
      </w:r>
      <w:r>
        <w:rPr>
          <w:rFonts w:ascii="Times New Roman" w:hAnsi="Times New Roman" w:eastAsia="方正小标宋简体"/>
          <w:sz w:val="44"/>
          <w:szCs w:val="44"/>
        </w:rPr>
        <w:t>+</w:t>
      </w:r>
      <w:r>
        <w:rPr>
          <w:rFonts w:hint="eastAsia" w:ascii="仿宋_GB2312" w:hAnsi="Times New Roman" w:eastAsia="仿宋_GB2312"/>
          <w:sz w:val="44"/>
          <w:szCs w:val="44"/>
        </w:rPr>
        <w:t>”</w:t>
      </w:r>
      <w:r>
        <w:rPr>
          <w:rFonts w:ascii="Times New Roman" w:eastAsia="方正小标宋简体"/>
          <w:sz w:val="44"/>
          <w:szCs w:val="44"/>
        </w:rPr>
        <w:t>行动的实施方案》的通知</w:t>
      </w:r>
    </w:p>
    <w:p w14:paraId="5ED51F27">
      <w:pPr>
        <w:pStyle w:val="25"/>
        <w:rPr>
          <w:rFonts w:ascii="Times New Roman" w:hAnsi="Times New Roman" w:cs="Times New Roman"/>
        </w:rPr>
      </w:pPr>
    </w:p>
    <w:p w14:paraId="1D0226C6">
      <w:pPr>
        <w:pStyle w:val="15"/>
        <w:widowControl/>
        <w:shd w:val="clear" w:color="auto" w:fill="FFFFFF"/>
        <w:spacing w:before="0" w:beforeAutospacing="0" w:after="0" w:afterAutospacing="0" w:line="560" w:lineRule="exact"/>
        <w:jc w:val="center"/>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湘政发〔2025〕7号</w:t>
      </w:r>
    </w:p>
    <w:p w14:paraId="5137BC37">
      <w:pPr>
        <w:pStyle w:val="15"/>
        <w:widowControl/>
        <w:shd w:val="clear" w:color="auto" w:fill="FFFFFF"/>
        <w:spacing w:before="0" w:beforeAutospacing="0" w:after="0" w:afterAutospacing="0" w:line="560" w:lineRule="exact"/>
        <w:ind w:firstLine="640"/>
        <w:jc w:val="center"/>
        <w:rPr>
          <w:rFonts w:ascii="Times New Roman" w:hAnsi="Times New Roman" w:eastAsia="仿宋_GB2312"/>
          <w:color w:val="000000"/>
          <w:sz w:val="32"/>
          <w:szCs w:val="32"/>
          <w:shd w:val="clear" w:color="auto" w:fill="FFFFFF"/>
        </w:rPr>
      </w:pPr>
    </w:p>
    <w:p w14:paraId="3E094CB5">
      <w:pPr>
        <w:spacing w:line="600" w:lineRule="exact"/>
        <w:rPr>
          <w:rFonts w:ascii="Times New Roman" w:hAnsi="Times New Roman" w:eastAsia="仿宋_GB2312"/>
          <w:sz w:val="32"/>
          <w:szCs w:val="32"/>
        </w:rPr>
      </w:pPr>
      <w:r>
        <w:rPr>
          <w:rFonts w:ascii="Times New Roman" w:eastAsia="仿宋_GB2312"/>
          <w:sz w:val="32"/>
          <w:szCs w:val="32"/>
        </w:rPr>
        <w:t>各市州、县市区人民政府，省政府各厅委、各直属机构：</w:t>
      </w:r>
    </w:p>
    <w:p w14:paraId="2FC9B5C2">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现将《湖南省贯彻落实国务院</w:t>
      </w:r>
      <w:r>
        <w:rPr>
          <w:rFonts w:hint="eastAsia" w:ascii="仿宋_GB2312" w:hAnsi="Times New Roman" w:eastAsia="仿宋_GB2312"/>
          <w:sz w:val="32"/>
          <w:szCs w:val="32"/>
        </w:rPr>
        <w:t>“</w:t>
      </w:r>
      <w:r>
        <w:rPr>
          <w:rFonts w:ascii="Times New Roman" w:eastAsia="仿宋_GB2312"/>
          <w:sz w:val="32"/>
          <w:szCs w:val="32"/>
        </w:rPr>
        <w:t>人工智能</w:t>
      </w:r>
      <w:r>
        <w:rPr>
          <w:rFonts w:ascii="Times New Roman" w:hAnsi="Times New Roman" w:eastAsia="仿宋_GB2312"/>
          <w:sz w:val="32"/>
          <w:szCs w:val="32"/>
        </w:rPr>
        <w:t>+</w:t>
      </w:r>
      <w:r>
        <w:rPr>
          <w:rFonts w:hint="eastAsia" w:ascii="仿宋_GB2312" w:hAnsi="Times New Roman" w:eastAsia="仿宋_GB2312"/>
          <w:sz w:val="32"/>
          <w:szCs w:val="32"/>
        </w:rPr>
        <w:t>”</w:t>
      </w:r>
      <w:r>
        <w:rPr>
          <w:rFonts w:ascii="Times New Roman" w:eastAsia="仿宋_GB2312"/>
          <w:sz w:val="32"/>
          <w:szCs w:val="32"/>
        </w:rPr>
        <w:t>行动的实施方案》印发给你们，请结合实际认真贯彻执行。</w:t>
      </w:r>
    </w:p>
    <w:p w14:paraId="173B3E9C">
      <w:pPr>
        <w:pStyle w:val="2"/>
        <w:spacing w:line="600" w:lineRule="exact"/>
        <w:rPr>
          <w:rFonts w:ascii="Times New Roman" w:hAnsi="Times New Roman" w:eastAsia="仿宋_GB2312"/>
          <w:sz w:val="32"/>
          <w:szCs w:val="32"/>
        </w:rPr>
      </w:pPr>
    </w:p>
    <w:p w14:paraId="47CA8118">
      <w:pPr>
        <w:pStyle w:val="2"/>
        <w:spacing w:line="600" w:lineRule="exact"/>
        <w:rPr>
          <w:rFonts w:ascii="Times New Roman" w:hAnsi="Times New Roman" w:eastAsia="仿宋_GB2312"/>
          <w:sz w:val="32"/>
          <w:szCs w:val="32"/>
        </w:rPr>
      </w:pPr>
    </w:p>
    <w:p w14:paraId="50CF6625">
      <w:pPr>
        <w:pStyle w:val="2"/>
        <w:spacing w:line="600" w:lineRule="exact"/>
        <w:ind w:right="756" w:rightChars="360"/>
        <w:jc w:val="right"/>
        <w:rPr>
          <w:rFonts w:ascii="Times New Roman" w:hAnsi="Times New Roman" w:eastAsia="仿宋_GB2312"/>
          <w:sz w:val="32"/>
          <w:szCs w:val="32"/>
        </w:rPr>
      </w:pPr>
      <w:r>
        <w:rPr>
          <w:rFonts w:ascii="Times New Roman" w:eastAsia="仿宋_GB2312"/>
          <w:sz w:val="32"/>
          <w:szCs w:val="32"/>
        </w:rPr>
        <w:t>湖南省人民政府</w:t>
      </w:r>
      <w:r>
        <w:rPr>
          <w:rFonts w:ascii="Times New Roman" w:hAnsi="Times New Roman" w:eastAsia="仿宋_GB2312"/>
          <w:sz w:val="32"/>
          <w:szCs w:val="32"/>
        </w:rPr>
        <w:t xml:space="preserve">   </w:t>
      </w:r>
    </w:p>
    <w:p w14:paraId="3162FCD3">
      <w:pPr>
        <w:adjustRightInd w:val="0"/>
        <w:snapToGrid w:val="0"/>
        <w:spacing w:line="600" w:lineRule="exact"/>
        <w:ind w:right="630" w:rightChars="300"/>
        <w:jc w:val="right"/>
        <w:rPr>
          <w:rFonts w:ascii="Times New Roman" w:hAnsi="Times New Roman" w:eastAsia="仿宋_GB2312"/>
          <w:sz w:val="32"/>
          <w:szCs w:val="32"/>
        </w:rPr>
      </w:pPr>
      <w:r>
        <w:rPr>
          <w:rFonts w:ascii="Times New Roman" w:hAnsi="Times New Roman" w:eastAsia="仿宋_GB2312"/>
          <w:sz w:val="32"/>
          <w:szCs w:val="32"/>
        </w:rPr>
        <w:t xml:space="preserve">                    2025</w:t>
      </w:r>
      <w:r>
        <w:rPr>
          <w:rFonts w:ascii="Times New Roman" w:eastAsia="仿宋_GB2312"/>
          <w:sz w:val="32"/>
          <w:szCs w:val="32"/>
        </w:rPr>
        <w:t>年</w:t>
      </w:r>
      <w:r>
        <w:rPr>
          <w:rFonts w:ascii="Times New Roman" w:hAnsi="Times New Roman" w:eastAsia="仿宋_GB2312"/>
          <w:sz w:val="32"/>
          <w:szCs w:val="32"/>
        </w:rPr>
        <w:t>10</w:t>
      </w:r>
      <w:r>
        <w:rPr>
          <w:rFonts w:ascii="Times New Roman" w:eastAsia="仿宋_GB2312"/>
          <w:sz w:val="32"/>
          <w:szCs w:val="32"/>
        </w:rPr>
        <w:t>月</w:t>
      </w:r>
      <w:r>
        <w:rPr>
          <w:rFonts w:ascii="Times New Roman" w:hAnsi="Times New Roman" w:eastAsia="仿宋_GB2312"/>
          <w:sz w:val="32"/>
          <w:szCs w:val="32"/>
        </w:rPr>
        <w:t>27</w:t>
      </w:r>
      <w:r>
        <w:rPr>
          <w:rFonts w:ascii="Times New Roman" w:eastAsia="仿宋_GB2312"/>
          <w:sz w:val="32"/>
          <w:szCs w:val="32"/>
        </w:rPr>
        <w:t>日</w:t>
      </w:r>
    </w:p>
    <w:p w14:paraId="38BF218A">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（此件主动公开）</w:t>
      </w:r>
    </w:p>
    <w:p w14:paraId="59CBE174">
      <w:pPr>
        <w:pStyle w:val="2"/>
        <w:spacing w:line="640" w:lineRule="exact"/>
        <w:rPr>
          <w:rFonts w:ascii="Times New Roman" w:hAnsi="Times New Roman" w:eastAsia="仿宋_GB2312"/>
          <w:b/>
          <w:color w:val="000000"/>
          <w:szCs w:val="44"/>
        </w:rPr>
      </w:pPr>
      <w:r>
        <w:rPr>
          <w:rFonts w:ascii="Times New Roman" w:hAnsi="Times New Roman" w:eastAsia="方正小标宋简体"/>
          <w:szCs w:val="44"/>
        </w:rPr>
        <w:br w:type="page"/>
      </w:r>
    </w:p>
    <w:p w14:paraId="0862E1D5">
      <w:pPr>
        <w:snapToGrid w:val="0"/>
        <w:spacing w:line="640" w:lineRule="exact"/>
        <w:jc w:val="center"/>
        <w:rPr>
          <w:rFonts w:ascii="Times New Roman" w:hAnsi="Times New Roman" w:eastAsia="方正小标宋简体"/>
          <w:b/>
          <w:color w:val="000000"/>
          <w:sz w:val="44"/>
          <w:szCs w:val="44"/>
        </w:rPr>
      </w:pPr>
    </w:p>
    <w:p w14:paraId="3528F1D4">
      <w:pPr>
        <w:snapToGrid w:val="0"/>
        <w:spacing w:line="640" w:lineRule="exact"/>
        <w:jc w:val="center"/>
        <w:rPr>
          <w:rFonts w:ascii="Times New Roman" w:hAnsi="Times New Roman" w:eastAsia="方正小标宋简体"/>
          <w:bCs/>
          <w:color w:val="000000"/>
          <w:sz w:val="44"/>
          <w:szCs w:val="44"/>
        </w:rPr>
      </w:pPr>
      <w:r>
        <w:rPr>
          <w:rFonts w:ascii="Times New Roman" w:eastAsia="方正小标宋简体"/>
          <w:bCs/>
          <w:color w:val="000000"/>
          <w:sz w:val="44"/>
          <w:szCs w:val="44"/>
        </w:rPr>
        <w:t>湖南省贯彻落实国务院</w:t>
      </w:r>
    </w:p>
    <w:p w14:paraId="5ECB5E40">
      <w:pPr>
        <w:snapToGrid w:val="0"/>
        <w:spacing w:line="640" w:lineRule="exact"/>
        <w:jc w:val="center"/>
        <w:rPr>
          <w:rFonts w:ascii="Times New Roman" w:hAnsi="Times New Roman" w:eastAsia="方正小标宋简体"/>
          <w:bCs/>
          <w:color w:val="000000"/>
          <w:sz w:val="44"/>
          <w:szCs w:val="44"/>
        </w:rPr>
      </w:pPr>
      <w:r>
        <w:rPr>
          <w:rFonts w:hint="eastAsia" w:ascii="仿宋_GB2312" w:hAnsi="Times New Roman" w:eastAsia="仿宋_GB2312"/>
          <w:bCs/>
          <w:color w:val="000000"/>
          <w:sz w:val="44"/>
          <w:szCs w:val="44"/>
        </w:rPr>
        <w:t>“</w:t>
      </w:r>
      <w:r>
        <w:rPr>
          <w:rFonts w:ascii="Times New Roman" w:eastAsia="方正小标宋简体"/>
          <w:bCs/>
          <w:color w:val="000000"/>
          <w:sz w:val="44"/>
          <w:szCs w:val="44"/>
        </w:rPr>
        <w:t>人工智能</w:t>
      </w:r>
      <w:r>
        <w:rPr>
          <w:rFonts w:ascii="Times New Roman" w:hAnsi="Times New Roman" w:eastAsia="方正小标宋简体"/>
          <w:bCs/>
          <w:color w:val="000000"/>
          <w:sz w:val="44"/>
          <w:szCs w:val="44"/>
        </w:rPr>
        <w:t>+</w:t>
      </w:r>
      <w:r>
        <w:rPr>
          <w:rFonts w:hint="eastAsia" w:ascii="仿宋_GB2312" w:hAnsi="Times New Roman" w:eastAsia="仿宋_GB2312"/>
          <w:bCs/>
          <w:color w:val="000000"/>
          <w:sz w:val="44"/>
          <w:szCs w:val="44"/>
        </w:rPr>
        <w:t>”</w:t>
      </w:r>
      <w:r>
        <w:rPr>
          <w:rFonts w:ascii="Times New Roman" w:eastAsia="方正小标宋简体"/>
          <w:bCs/>
          <w:color w:val="000000"/>
          <w:sz w:val="44"/>
          <w:szCs w:val="44"/>
        </w:rPr>
        <w:t>行动的实施方案</w:t>
      </w:r>
    </w:p>
    <w:p w14:paraId="717387B2">
      <w:pPr>
        <w:snapToGrid w:val="0"/>
        <w:spacing w:line="640" w:lineRule="exact"/>
        <w:rPr>
          <w:rFonts w:ascii="Times New Roman" w:hAnsi="Times New Roman" w:eastAsia="方正小标宋简体"/>
          <w:b/>
          <w:color w:val="000000"/>
          <w:sz w:val="44"/>
          <w:szCs w:val="44"/>
        </w:rPr>
      </w:pPr>
    </w:p>
    <w:p w14:paraId="556912E4">
      <w:pPr>
        <w:snapToGrid w:val="0"/>
        <w:spacing w:line="600" w:lineRule="exact"/>
        <w:ind w:firstLine="640" w:firstLineChars="200"/>
        <w:rPr>
          <w:rFonts w:ascii="Times New Roman" w:hAnsi="Times New Roman" w:eastAsia="仿宋_GB2312"/>
          <w:b/>
          <w:color w:val="000000"/>
          <w:sz w:val="32"/>
          <w:szCs w:val="32"/>
        </w:rPr>
      </w:pPr>
      <w:r>
        <w:rPr>
          <w:rFonts w:ascii="Times New Roman" w:hAnsi="仿宋_GB2312" w:eastAsia="仿宋_GB2312"/>
          <w:bCs/>
          <w:color w:val="000000"/>
          <w:sz w:val="32"/>
          <w:szCs w:val="32"/>
        </w:rPr>
        <w:t>为深入贯彻习近平总书记关于人工智能的重要论述和指示批示精神，落实党中央、国务院关于深入实施</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行动的决策部署以及国务院《关于深入实施</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行动的意见》（国发</w:t>
      </w:r>
      <w:r>
        <w:rPr>
          <w:rFonts w:ascii="Times New Roman" w:eastAsia="仿宋_GB2312"/>
          <w:bCs/>
          <w:color w:val="000000"/>
          <w:sz w:val="32"/>
          <w:szCs w:val="32"/>
        </w:rPr>
        <w:t>〔</w:t>
      </w:r>
      <w:r>
        <w:rPr>
          <w:rFonts w:ascii="Times New Roman" w:hAnsi="Times New Roman" w:eastAsia="仿宋_GB2312"/>
          <w:bCs/>
          <w:color w:val="000000"/>
          <w:sz w:val="32"/>
          <w:szCs w:val="32"/>
        </w:rPr>
        <w:t>2025</w:t>
      </w:r>
      <w:r>
        <w:rPr>
          <w:rFonts w:ascii="Times New Roman" w:eastAsia="仿宋_GB2312"/>
          <w:bCs/>
          <w:color w:val="000000"/>
          <w:sz w:val="32"/>
          <w:szCs w:val="32"/>
        </w:rPr>
        <w:t>〕</w:t>
      </w:r>
      <w:r>
        <w:rPr>
          <w:rFonts w:ascii="Times New Roman" w:hAnsi="Times New Roman" w:eastAsia="仿宋_GB2312"/>
          <w:bCs/>
          <w:color w:val="000000"/>
          <w:sz w:val="32"/>
          <w:szCs w:val="32"/>
        </w:rPr>
        <w:t>11</w:t>
      </w:r>
      <w:r>
        <w:rPr>
          <w:rFonts w:ascii="Times New Roman" w:hAnsi="仿宋_GB2312" w:eastAsia="仿宋_GB2312"/>
          <w:bCs/>
          <w:color w:val="000000"/>
          <w:sz w:val="32"/>
          <w:szCs w:val="32"/>
        </w:rPr>
        <w:t>号）的有关要求，结合全力打造</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三个高地</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和全省</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4×4</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现代化产业体系布局，以及经济社会未来发展方向，特制定本实施方案。</w:t>
      </w:r>
    </w:p>
    <w:p w14:paraId="2D9F6C2B">
      <w:pPr>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一、目标要求</w:t>
      </w:r>
    </w:p>
    <w:p w14:paraId="19FE9BBF">
      <w:pPr>
        <w:snapToGrid w:val="0"/>
        <w:spacing w:line="600" w:lineRule="exact"/>
        <w:ind w:firstLine="640" w:firstLineChars="200"/>
        <w:rPr>
          <w:rFonts w:ascii="Times New Roman" w:hAnsi="Times New Roman" w:eastAsia="仿宋_GB2312"/>
          <w:bCs/>
          <w:color w:val="000000"/>
          <w:sz w:val="32"/>
          <w:szCs w:val="32"/>
        </w:rPr>
      </w:pPr>
      <w:r>
        <w:rPr>
          <w:rFonts w:ascii="Times New Roman" w:hAnsi="仿宋_GB2312" w:eastAsia="仿宋_GB2312"/>
          <w:bCs/>
          <w:color w:val="000000"/>
          <w:sz w:val="32"/>
          <w:szCs w:val="32"/>
        </w:rPr>
        <w:t>充分发挥我省创新要素集聚、应用场景丰富、产业门类齐全、生态基础优良的综合优势，坚持统筹布局、创新驱动、应用牵引、融合赋能的原则，按照</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两年有突破、五年见成效、十年成高地</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的要求，抢抓国家政策新机遇，构建智能经济新形态，以人工智能为核心驱动力催生和发展新质生产力，加快建设全国一流的人工智能创新策源地、产业集聚地和应用示范地。</w:t>
      </w:r>
    </w:p>
    <w:p w14:paraId="588F58BE">
      <w:pPr>
        <w:snapToGrid w:val="0"/>
        <w:spacing w:line="600" w:lineRule="exact"/>
        <w:ind w:firstLine="640" w:firstLineChars="200"/>
        <w:rPr>
          <w:rFonts w:ascii="Times New Roman" w:hAnsi="Times New Roman" w:eastAsia="仿宋_GB2312"/>
          <w:bCs/>
          <w:color w:val="000000"/>
          <w:sz w:val="32"/>
          <w:szCs w:val="32"/>
        </w:rPr>
      </w:pPr>
      <w:r>
        <w:rPr>
          <w:rFonts w:ascii="Times New Roman" w:hAnsi="仿宋_GB2312" w:eastAsia="仿宋_GB2312"/>
          <w:bCs/>
          <w:color w:val="000000"/>
          <w:sz w:val="32"/>
          <w:szCs w:val="32"/>
        </w:rPr>
        <w:t>到</w:t>
      </w:r>
      <w:r>
        <w:rPr>
          <w:rFonts w:ascii="Times New Roman" w:hAnsi="Times New Roman" w:eastAsia="仿宋_GB2312"/>
          <w:bCs/>
          <w:color w:val="000000"/>
          <w:sz w:val="32"/>
          <w:szCs w:val="32"/>
        </w:rPr>
        <w:t>2027</w:t>
      </w:r>
      <w:r>
        <w:rPr>
          <w:rFonts w:ascii="Times New Roman" w:hAnsi="仿宋_GB2312" w:eastAsia="仿宋_GB2312"/>
          <w:bCs/>
          <w:color w:val="000000"/>
          <w:sz w:val="32"/>
          <w:szCs w:val="32"/>
        </w:rPr>
        <w:t>年，全省人工智能产业规模突破</w:t>
      </w:r>
      <w:r>
        <w:rPr>
          <w:rFonts w:ascii="Times New Roman" w:hAnsi="Times New Roman" w:eastAsia="仿宋_GB2312"/>
          <w:bCs/>
          <w:color w:val="000000"/>
          <w:sz w:val="32"/>
          <w:szCs w:val="32"/>
        </w:rPr>
        <w:t>1200</w:t>
      </w:r>
      <w:r>
        <w:rPr>
          <w:rFonts w:ascii="Times New Roman" w:hAnsi="仿宋_GB2312" w:eastAsia="仿宋_GB2312"/>
          <w:bCs/>
          <w:color w:val="000000"/>
          <w:sz w:val="32"/>
          <w:szCs w:val="32"/>
        </w:rPr>
        <w:t>亿元，智</w:t>
      </w:r>
      <w:r>
        <w:rPr>
          <w:rFonts w:hint="eastAsia" w:ascii="Times New Roman" w:hAnsi="仿宋_GB2312" w:eastAsia="仿宋_GB2312"/>
          <w:bCs/>
          <w:color w:val="000000"/>
          <w:sz w:val="32"/>
          <w:szCs w:val="32"/>
        </w:rPr>
        <w:t>能</w:t>
      </w:r>
      <w:r>
        <w:rPr>
          <w:rFonts w:ascii="Times New Roman" w:hAnsi="仿宋_GB2312" w:eastAsia="仿宋_GB2312"/>
          <w:bCs/>
          <w:color w:val="000000"/>
          <w:sz w:val="32"/>
          <w:szCs w:val="32"/>
        </w:rPr>
        <w:t>算力达</w:t>
      </w:r>
      <w:r>
        <w:rPr>
          <w:rFonts w:ascii="Times New Roman" w:hAnsi="Times New Roman" w:eastAsia="仿宋_GB2312"/>
          <w:bCs/>
          <w:color w:val="000000"/>
          <w:sz w:val="32"/>
          <w:szCs w:val="32"/>
        </w:rPr>
        <w:t>5.25EFlops</w:t>
      </w:r>
      <w:r>
        <w:rPr>
          <w:rFonts w:ascii="Times New Roman" w:hAnsi="仿宋_GB2312" w:eastAsia="仿宋_GB2312"/>
          <w:bCs/>
          <w:color w:val="000000"/>
          <w:sz w:val="32"/>
          <w:szCs w:val="32"/>
        </w:rPr>
        <w:t>，实现人工智能与制造业、文化等重点方向深度融合，形成</w:t>
      </w:r>
      <w:r>
        <w:rPr>
          <w:rFonts w:ascii="Times New Roman" w:hAnsi="Times New Roman" w:eastAsia="仿宋_GB2312"/>
          <w:bCs/>
          <w:color w:val="000000"/>
          <w:sz w:val="32"/>
          <w:szCs w:val="32"/>
        </w:rPr>
        <w:t>50</w:t>
      </w:r>
      <w:r>
        <w:rPr>
          <w:rFonts w:ascii="Times New Roman" w:hAnsi="仿宋_GB2312" w:eastAsia="仿宋_GB2312"/>
          <w:bCs/>
          <w:color w:val="000000"/>
          <w:sz w:val="32"/>
          <w:szCs w:val="32"/>
        </w:rPr>
        <w:t>个左右行业垂类大模型、</w:t>
      </w:r>
      <w:r>
        <w:rPr>
          <w:rFonts w:ascii="Times New Roman" w:hAnsi="Times New Roman" w:eastAsia="仿宋_GB2312"/>
          <w:bCs/>
          <w:color w:val="000000"/>
          <w:sz w:val="32"/>
          <w:szCs w:val="32"/>
        </w:rPr>
        <w:t>200</w:t>
      </w:r>
      <w:r>
        <w:rPr>
          <w:rFonts w:ascii="Times New Roman" w:hAnsi="仿宋_GB2312" w:eastAsia="仿宋_GB2312"/>
          <w:bCs/>
          <w:color w:val="000000"/>
          <w:sz w:val="32"/>
          <w:szCs w:val="32"/>
        </w:rPr>
        <w:t>个左右典型应用场景，新一代智能终端、智能体等应用普及率超</w:t>
      </w:r>
      <w:r>
        <w:rPr>
          <w:rFonts w:ascii="Times New Roman" w:hAnsi="Times New Roman" w:eastAsia="仿宋_GB2312"/>
          <w:bCs/>
          <w:color w:val="000000"/>
          <w:sz w:val="32"/>
          <w:szCs w:val="32"/>
        </w:rPr>
        <w:t>75%</w:t>
      </w:r>
      <w:r>
        <w:rPr>
          <w:rFonts w:ascii="Times New Roman" w:hAnsi="仿宋_GB2312" w:eastAsia="仿宋_GB2312"/>
          <w:bCs/>
          <w:color w:val="000000"/>
          <w:sz w:val="32"/>
          <w:szCs w:val="32"/>
        </w:rPr>
        <w:t>。</w:t>
      </w:r>
    </w:p>
    <w:p w14:paraId="2D45C42C">
      <w:pPr>
        <w:snapToGrid w:val="0"/>
        <w:spacing w:line="600" w:lineRule="exact"/>
        <w:ind w:firstLine="640" w:firstLineChars="200"/>
        <w:rPr>
          <w:rFonts w:ascii="Times New Roman" w:hAnsi="Times New Roman" w:eastAsia="仿宋_GB2312"/>
          <w:bCs/>
          <w:color w:val="000000"/>
          <w:sz w:val="32"/>
          <w:szCs w:val="32"/>
        </w:rPr>
      </w:pPr>
      <w:r>
        <w:rPr>
          <w:rFonts w:ascii="Times New Roman" w:hAnsi="仿宋_GB2312" w:eastAsia="仿宋_GB2312"/>
          <w:bCs/>
          <w:color w:val="000000"/>
          <w:sz w:val="32"/>
          <w:szCs w:val="32"/>
        </w:rPr>
        <w:t>到</w:t>
      </w:r>
      <w:r>
        <w:rPr>
          <w:rFonts w:ascii="Times New Roman" w:hAnsi="Times New Roman" w:eastAsia="仿宋_GB2312"/>
          <w:bCs/>
          <w:color w:val="000000"/>
          <w:sz w:val="32"/>
          <w:szCs w:val="32"/>
        </w:rPr>
        <w:t>2030</w:t>
      </w:r>
      <w:r>
        <w:rPr>
          <w:rFonts w:ascii="Times New Roman" w:hAnsi="仿宋_GB2312" w:eastAsia="仿宋_GB2312"/>
          <w:bCs/>
          <w:color w:val="000000"/>
          <w:sz w:val="32"/>
          <w:szCs w:val="32"/>
        </w:rPr>
        <w:t>年，全省人工智能产业规模突破</w:t>
      </w:r>
      <w:r>
        <w:rPr>
          <w:rFonts w:ascii="Times New Roman" w:hAnsi="Times New Roman" w:eastAsia="仿宋_GB2312"/>
          <w:bCs/>
          <w:color w:val="000000"/>
          <w:sz w:val="32"/>
          <w:szCs w:val="32"/>
        </w:rPr>
        <w:t>2000</w:t>
      </w:r>
      <w:r>
        <w:rPr>
          <w:rFonts w:ascii="Times New Roman" w:hAnsi="仿宋_GB2312" w:eastAsia="仿宋_GB2312"/>
          <w:bCs/>
          <w:color w:val="000000"/>
          <w:sz w:val="32"/>
          <w:szCs w:val="32"/>
        </w:rPr>
        <w:t>亿元，智</w:t>
      </w:r>
      <w:r>
        <w:rPr>
          <w:rFonts w:hint="eastAsia" w:ascii="Times New Roman" w:hAnsi="仿宋_GB2312" w:eastAsia="仿宋_GB2312"/>
          <w:bCs/>
          <w:color w:val="000000"/>
          <w:sz w:val="32"/>
          <w:szCs w:val="32"/>
        </w:rPr>
        <w:t>能</w:t>
      </w:r>
      <w:r>
        <w:rPr>
          <w:rFonts w:ascii="Times New Roman" w:hAnsi="仿宋_GB2312" w:eastAsia="仿宋_GB2312"/>
          <w:bCs/>
          <w:color w:val="000000"/>
          <w:sz w:val="32"/>
          <w:szCs w:val="32"/>
        </w:rPr>
        <w:t>算力达</w:t>
      </w:r>
      <w:r>
        <w:rPr>
          <w:rFonts w:ascii="Times New Roman" w:hAnsi="Times New Roman" w:eastAsia="仿宋_GB2312"/>
          <w:bCs/>
          <w:color w:val="000000"/>
          <w:sz w:val="32"/>
          <w:szCs w:val="32"/>
        </w:rPr>
        <w:t>12EFlops</w:t>
      </w:r>
      <w:r>
        <w:rPr>
          <w:rFonts w:ascii="Times New Roman" w:hAnsi="仿宋_GB2312" w:eastAsia="仿宋_GB2312"/>
          <w:bCs/>
          <w:color w:val="000000"/>
          <w:sz w:val="32"/>
          <w:szCs w:val="32"/>
        </w:rPr>
        <w:t>，新一代智能终端、智能体等应用普及率超</w:t>
      </w:r>
      <w:r>
        <w:rPr>
          <w:rFonts w:ascii="Times New Roman" w:hAnsi="Times New Roman" w:eastAsia="仿宋_GB2312"/>
          <w:bCs/>
          <w:color w:val="000000"/>
          <w:sz w:val="32"/>
          <w:szCs w:val="32"/>
        </w:rPr>
        <w:t>90%</w:t>
      </w:r>
      <w:r>
        <w:rPr>
          <w:rFonts w:ascii="Times New Roman" w:hAnsi="仿宋_GB2312" w:eastAsia="仿宋_GB2312"/>
          <w:bCs/>
          <w:color w:val="000000"/>
          <w:sz w:val="32"/>
          <w:szCs w:val="32"/>
        </w:rPr>
        <w:t>，初步建成具有全国影响力的人工智能赋能应用引领区。</w:t>
      </w:r>
    </w:p>
    <w:p w14:paraId="01DFF4FA">
      <w:pPr>
        <w:snapToGrid w:val="0"/>
        <w:spacing w:line="600" w:lineRule="exact"/>
        <w:ind w:firstLine="640" w:firstLineChars="200"/>
        <w:rPr>
          <w:rFonts w:ascii="Times New Roman" w:hAnsi="Times New Roman" w:eastAsia="仿宋_GB2312"/>
          <w:bCs/>
          <w:color w:val="000000"/>
          <w:sz w:val="32"/>
          <w:szCs w:val="32"/>
        </w:rPr>
      </w:pPr>
      <w:r>
        <w:rPr>
          <w:rFonts w:ascii="Times New Roman" w:hAnsi="仿宋_GB2312" w:eastAsia="仿宋_GB2312"/>
          <w:bCs/>
          <w:color w:val="000000"/>
          <w:sz w:val="32"/>
          <w:szCs w:val="32"/>
        </w:rPr>
        <w:t>到</w:t>
      </w:r>
      <w:r>
        <w:rPr>
          <w:rFonts w:ascii="Times New Roman" w:hAnsi="Times New Roman" w:eastAsia="仿宋_GB2312"/>
          <w:bCs/>
          <w:color w:val="000000"/>
          <w:sz w:val="32"/>
          <w:szCs w:val="32"/>
        </w:rPr>
        <w:t>2035</w:t>
      </w:r>
      <w:r>
        <w:rPr>
          <w:rFonts w:ascii="Times New Roman" w:hAnsi="仿宋_GB2312" w:eastAsia="仿宋_GB2312"/>
          <w:bCs/>
          <w:color w:val="000000"/>
          <w:sz w:val="32"/>
          <w:szCs w:val="32"/>
        </w:rPr>
        <w:t>年，全省全面步入智能经济和智能社会发展新阶段，人工智能应用水平跻身全国前列，部分领域达到国际先进水平。</w:t>
      </w:r>
    </w:p>
    <w:p w14:paraId="3C3E5DB0">
      <w:pPr>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二、重点方向</w:t>
      </w:r>
    </w:p>
    <w:p w14:paraId="4FC8EFA7">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（一）科学技术领域</w:t>
      </w:r>
    </w:p>
    <w:p w14:paraId="2F2D6FE8">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基础研究。</w:t>
      </w:r>
      <w:r>
        <w:rPr>
          <w:rFonts w:ascii="Times New Roman" w:hAnsi="仿宋_GB2312" w:eastAsia="仿宋_GB2312"/>
          <w:bCs/>
          <w:color w:val="000000"/>
          <w:sz w:val="32"/>
          <w:szCs w:val="32"/>
        </w:rPr>
        <w:t>加快探索人工智能驱动的新型科研范式，支持物理、数学、生物、材料等基础学科与人工智能的交叉研究，加速重大科学发现进程。推动基础科研平台智能化升级。加强人工智能与生物制造、量子科技、气候模拟等领域技术协同创新，加快推动类脑芯片、量超智融合计算等前沿领域探索研究。探索建立适应人工智能时代的新型哲学社会科学研究组织形式，支持人工智能对人类认知判断、伦理规范等方面的深层次影响和作用机理研究。</w:t>
      </w:r>
      <w:r>
        <w:rPr>
          <w:rFonts w:ascii="Times New Roman" w:eastAsia="楷体_GB2312"/>
          <w:bCs/>
          <w:color w:val="000000"/>
          <w:kern w:val="0"/>
          <w:sz w:val="32"/>
          <w:szCs w:val="32"/>
          <w:shd w:val="clear" w:color="auto" w:fill="FFFFFF"/>
        </w:rPr>
        <w:t>（省科技厅牵头，省教育厅、省委宣传部、各市州人民政府等按职责分工负责。以下均需各市州人民政府落实，不再列出）</w:t>
      </w:r>
    </w:p>
    <w:p w14:paraId="4036D087">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2.</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神经科学。</w:t>
      </w:r>
      <w:r>
        <w:rPr>
          <w:rFonts w:ascii="Times New Roman" w:hAnsi="仿宋_GB2312" w:eastAsia="仿宋_GB2312"/>
          <w:bCs/>
          <w:color w:val="000000"/>
          <w:sz w:val="32"/>
          <w:szCs w:val="32"/>
        </w:rPr>
        <w:t>推动人工智能驱动的技术研发、工程实现、产品落地一体化协同发展，聚焦脑科学、脑机接口、神经康复等重点领域开展协同创新，加强神经科学领域创新平台建设，开展脑认知机理与脑机智能、脑机接口基础软硬件、智能康复评估系统等领域关键核心技术攻关，以新的科研成果支撑人工智能场景应用落地，以新的应用需求牵引神经科学创新突破。</w:t>
      </w:r>
      <w:r>
        <w:rPr>
          <w:rFonts w:ascii="Times New Roman" w:eastAsia="楷体_GB2312"/>
          <w:bCs/>
          <w:color w:val="000000"/>
          <w:kern w:val="0"/>
          <w:sz w:val="32"/>
          <w:szCs w:val="32"/>
          <w:shd w:val="clear" w:color="auto" w:fill="FFFFFF"/>
        </w:rPr>
        <w:t>（省科技厅牵头，省卫生健康委、省药品监管局、省工业和信息化厅等按职责分工负责）</w:t>
      </w:r>
    </w:p>
    <w:p w14:paraId="7FE7EE25">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（二）产业发展领域</w:t>
      </w:r>
    </w:p>
    <w:p w14:paraId="2B28DE91">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3.</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先进制造。</w:t>
      </w:r>
      <w:r>
        <w:rPr>
          <w:rFonts w:ascii="Times New Roman" w:hAnsi="仿宋_GB2312" w:eastAsia="仿宋_GB2312"/>
          <w:bCs/>
          <w:color w:val="000000"/>
          <w:sz w:val="32"/>
          <w:szCs w:val="32"/>
        </w:rPr>
        <w:t>加快推动人工智能与</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4×4</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现代化产业体系深度融合，纵深推进</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智赋万企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行动，加快发展绿色智能计算产业。以制造领域垂类大模型为核心驱动力，围绕工程机械、航空航天及北斗、智能衡器计量、先进钢铁材料、新能源等重点产业链，推动人工智能技术在制造业研发设计、中试验证、生产制造、营销服务、运营管理等关键环节的深度融合应用，提升制造业全流程智能化水平。依托国家中小企业数字化转型试点城市、制造业新型技术改造城市试点，推广一批人工智能赋能新型工业化典型应用场景，梯度培育建设一批智能工厂。推动人工智能与工业互联网深度融合、双向赋能，打造优势行业领域工业互联网平台，促进产业链上下游企业数据融通，重塑生产流程和方式。</w:t>
      </w:r>
      <w:r>
        <w:rPr>
          <w:rFonts w:ascii="Times New Roman" w:eastAsia="楷体_GB2312"/>
          <w:bCs/>
          <w:color w:val="000000"/>
          <w:kern w:val="0"/>
          <w:sz w:val="32"/>
          <w:szCs w:val="32"/>
          <w:shd w:val="clear" w:color="auto" w:fill="FFFFFF"/>
        </w:rPr>
        <w:t>（省工业和信息化厅牵头，省发展改革委、省科技厅、省数据局等按职责分工负责）</w:t>
      </w:r>
    </w:p>
    <w:p w14:paraId="6591CF70">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4.</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文化旅游。</w:t>
      </w:r>
      <w:r>
        <w:rPr>
          <w:rFonts w:ascii="Times New Roman" w:hAnsi="仿宋_GB2312" w:eastAsia="仿宋_GB2312"/>
          <w:bCs/>
          <w:color w:val="000000"/>
          <w:sz w:val="32"/>
          <w:szCs w:val="32"/>
        </w:rPr>
        <w:t>积极构建超高清视频、文博等高质量语料库，搭建行业应用共性平台，全力争取文化领域人工智能应用中试基地布局湖南。加速发展应用内容</w:t>
      </w:r>
      <w:r>
        <w:rPr>
          <w:rFonts w:ascii="Times New Roman" w:hAnsi="Times New Roman" w:eastAsia="仿宋_GB2312"/>
          <w:bCs/>
          <w:color w:val="000000"/>
          <w:sz w:val="32"/>
          <w:szCs w:val="32"/>
        </w:rPr>
        <w:t>/IP</w:t>
      </w:r>
      <w:r>
        <w:rPr>
          <w:rFonts w:ascii="Times New Roman" w:hAnsi="仿宋_GB2312" w:eastAsia="仿宋_GB2312"/>
          <w:bCs/>
          <w:color w:val="000000"/>
          <w:sz w:val="32"/>
          <w:szCs w:val="32"/>
        </w:rPr>
        <w:t>型数字人、功能服务型数字人和虚拟分身数字人。建设岳麓山文化数智传播实验室等平台，推动湖湘文化数智化传播。支持对马王堆汉墓简帛、岳麓书院典籍等进行高精度数字化采集与知识图谱构建，建立</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数字湖湘基因库</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。鼓励开发文生视频等大模型产品，促进内容生产和传播手段现代化。统筹推进全省数智文旅</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一张网</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建设。加快音视频设备、游乐设备、演艺设备等智能文化装备发展。集成应用</w:t>
      </w:r>
      <w:r>
        <w:rPr>
          <w:rFonts w:ascii="Times New Roman" w:hAnsi="Times New Roman" w:eastAsia="仿宋_GB2312"/>
          <w:bCs/>
          <w:color w:val="000000"/>
          <w:sz w:val="32"/>
          <w:szCs w:val="32"/>
        </w:rPr>
        <w:t>AR/VR</w:t>
      </w:r>
      <w:r>
        <w:rPr>
          <w:rFonts w:ascii="Times New Roman" w:hAnsi="仿宋_GB2312" w:eastAsia="仿宋_GB2312"/>
          <w:bCs/>
          <w:color w:val="000000"/>
          <w:sz w:val="32"/>
          <w:szCs w:val="32"/>
        </w:rPr>
        <w:t>、智能感知、数字光影等前沿技术，强化</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实景三维湖南</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成果应用，培育一批沉浸式智慧文化旅游新场景、新产品。</w:t>
      </w:r>
      <w:r>
        <w:rPr>
          <w:rFonts w:ascii="Times New Roman" w:eastAsia="楷体_GB2312"/>
          <w:bCs/>
          <w:color w:val="000000"/>
          <w:kern w:val="0"/>
          <w:sz w:val="32"/>
          <w:szCs w:val="32"/>
          <w:shd w:val="clear" w:color="auto" w:fill="FFFFFF"/>
        </w:rPr>
        <w:t>（省委宣传部、省文化和旅游厅牵头，省广电局、省发展改革委、省工业和信息化厅、省科技厅、省自然资源厅、省文物局等按职责分工负责）</w:t>
      </w:r>
    </w:p>
    <w:p w14:paraId="26E06CC3">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5.</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农业。</w:t>
      </w:r>
      <w:r>
        <w:rPr>
          <w:rFonts w:ascii="Times New Roman" w:hAnsi="仿宋_GB2312" w:eastAsia="仿宋_GB2312"/>
          <w:bCs/>
          <w:color w:val="000000"/>
          <w:sz w:val="32"/>
          <w:szCs w:val="32"/>
        </w:rPr>
        <w:t>加快推进智能育种，依托岳麓山实验室加速人工智能育种技术体系研究，推动传统育种向智能育种转变，有效缩短育种周期。大力发展智能农机装备，提高环境感知、智能决策、精准控制等能力。加大应用水肥药精准施用、环境精准调控等技术，打造一批无人农场、渔场。基于农业生产经营、农产品市场等数据，构建智能决策支撑系统，推动形成高效、精准的农业生产模式。</w:t>
      </w:r>
      <w:r>
        <w:rPr>
          <w:rFonts w:ascii="Times New Roman" w:eastAsia="楷体_GB2312"/>
          <w:bCs/>
          <w:color w:val="000000"/>
          <w:kern w:val="0"/>
          <w:sz w:val="32"/>
          <w:szCs w:val="32"/>
          <w:shd w:val="clear" w:color="auto" w:fill="FFFFFF"/>
        </w:rPr>
        <w:t>（省农业农村厅牵头，省科技厅、省工业和信息化厅等按职责分工负责）</w:t>
      </w:r>
    </w:p>
    <w:p w14:paraId="67CDD443">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6.</w:t>
      </w:r>
      <w:r>
        <w:rPr>
          <w:rFonts w:ascii="Times New Roman" w:eastAsia="仿宋_GB2312"/>
          <w:b/>
          <w:color w:val="000000"/>
          <w:kern w:val="0"/>
          <w:sz w:val="32"/>
          <w:szCs w:val="32"/>
          <w:shd w:val="clear" w:color="auto" w:fill="FFFFFF"/>
        </w:rPr>
        <w:t>具身智能。</w:t>
      </w:r>
      <w:r>
        <w:rPr>
          <w:rFonts w:ascii="Times New Roman" w:hAnsi="仿宋_GB2312" w:eastAsia="仿宋_GB2312"/>
          <w:bCs/>
          <w:color w:val="000000"/>
          <w:sz w:val="32"/>
          <w:szCs w:val="32"/>
        </w:rPr>
        <w:t>创新发展具身智能，以应用牵引迭代演进，持续推进具身智能进化升级。加快升级深度学习、模仿学习、迁移学习等智能算法，推动智能体感知、决策和控制能力跃升。加快研发视觉、听觉、触觉等高精度智能传感技术与多模态融合算法，提升智能体多元多维信息的感知理解水平，实现更加自然的人机交互体验。</w:t>
      </w:r>
      <w:r>
        <w:rPr>
          <w:rFonts w:ascii="Times New Roman" w:eastAsia="楷体_GB2312"/>
          <w:bCs/>
          <w:color w:val="000000"/>
          <w:kern w:val="0"/>
          <w:sz w:val="32"/>
          <w:szCs w:val="32"/>
          <w:shd w:val="clear" w:color="auto" w:fill="FFFFFF"/>
        </w:rPr>
        <w:t>（省工业和信息化厅、省科技厅、省发展改革委等按职责分工负责）</w:t>
      </w:r>
    </w:p>
    <w:p w14:paraId="2B0E5F14">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（三）消费提质领域</w:t>
      </w:r>
    </w:p>
    <w:p w14:paraId="10DD1AF6">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7.</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自动驾驶。</w:t>
      </w:r>
      <w:r>
        <w:rPr>
          <w:rFonts w:ascii="Times New Roman" w:hAnsi="仿宋_GB2312" w:eastAsia="仿宋_GB2312"/>
          <w:bCs/>
          <w:color w:val="000000"/>
          <w:sz w:val="32"/>
          <w:szCs w:val="32"/>
        </w:rPr>
        <w:t>积极推进长沙国家</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车路云一体化</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试点城市建设，加大自动驾驶车辆投放力度。推进长株潭智能网联汽车试点开放区域划定及其高精地图采集编制，探索智能审图与安全智管在自动驾驶领域的应用。加快无人清扫、洒水等作业车辆参与城市道路养护巡检。推动快递配送、外卖零售、货物运输等无人车在园区、景区、矿山等封闭场景加快应用。推动在机场、火车站等客运枢纽应用无人接驳车辆。加快公路水路交通基础设施数字化升级，构建智能综合交通体系，提供智能化、场景化、个性化公众出行服务。</w:t>
      </w:r>
      <w:r>
        <w:rPr>
          <w:rFonts w:ascii="Times New Roman" w:eastAsia="楷体_GB2312"/>
          <w:bCs/>
          <w:color w:val="000000"/>
          <w:kern w:val="0"/>
          <w:sz w:val="32"/>
          <w:szCs w:val="32"/>
          <w:shd w:val="clear" w:color="auto" w:fill="FFFFFF"/>
        </w:rPr>
        <w:t>（省工业和信息化厅牵头，省交通运输厅、省公安厅、省自然资源厅、省住房城乡建设厅等按职责分工负责）</w:t>
      </w:r>
    </w:p>
    <w:p w14:paraId="3772E894">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8.</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终端设备。</w:t>
      </w:r>
      <w:r>
        <w:rPr>
          <w:rFonts w:ascii="Times New Roman" w:hAnsi="仿宋_GB2312" w:eastAsia="仿宋_GB2312"/>
          <w:bCs/>
          <w:color w:val="000000"/>
          <w:sz w:val="32"/>
          <w:szCs w:val="32"/>
        </w:rPr>
        <w:t>持续迭代智能眼镜、智能手表、智能耳机、</w:t>
      </w:r>
      <w:r>
        <w:rPr>
          <w:rFonts w:ascii="Times New Roman" w:hAnsi="Times New Roman" w:eastAsia="仿宋_GB2312"/>
          <w:bCs/>
          <w:color w:val="000000"/>
          <w:sz w:val="32"/>
          <w:szCs w:val="32"/>
        </w:rPr>
        <w:t>AR/VR</w:t>
      </w:r>
      <w:r>
        <w:rPr>
          <w:rFonts w:ascii="Times New Roman" w:hAnsi="仿宋_GB2312" w:eastAsia="仿宋_GB2312"/>
          <w:bCs/>
          <w:color w:val="000000"/>
          <w:sz w:val="32"/>
          <w:szCs w:val="32"/>
        </w:rPr>
        <w:t>设备等穿戴设备，不断提升空间感知、实时翻译、健康监测等性能。加快升级智能手机，提升多模态交互、意图理解与决策等核心能力，推动由</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智能工具</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向</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智能助理</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升级。加快推广智能计算机、智能平板，实现端侧大模型轻量化部署，满足办公、家庭场景数据管理与实时交互控制需求。</w:t>
      </w:r>
      <w:r>
        <w:rPr>
          <w:rFonts w:ascii="Times New Roman" w:eastAsia="楷体_GB2312"/>
          <w:bCs/>
          <w:color w:val="000000"/>
          <w:kern w:val="0"/>
          <w:sz w:val="32"/>
          <w:szCs w:val="32"/>
          <w:shd w:val="clear" w:color="auto" w:fill="FFFFFF"/>
        </w:rPr>
        <w:t>（省工业和信息化厅牵头，省发展改革委、省科技厅等按职责分工负责）</w:t>
      </w:r>
    </w:p>
    <w:p w14:paraId="3C64C0C7">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9.</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低空经济。</w:t>
      </w:r>
      <w:r>
        <w:rPr>
          <w:rFonts w:ascii="Times New Roman" w:hAnsi="仿宋_GB2312" w:eastAsia="仿宋_GB2312"/>
          <w:bCs/>
          <w:color w:val="000000"/>
          <w:sz w:val="32"/>
          <w:szCs w:val="32"/>
        </w:rPr>
        <w:t>积极布局全省低空智联一张网，集成安全态势感知、视频识别查证等功能。基于</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实景三维湖南</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打造全省网格化立体空间，分等级规划编制低空飞行器通行航道，提升低空飞行管理智能化水平。加快推广低空飞行器智能座舱，提高飞行器智能控制算法及自主飞行决策等能力。建设智能无人机物流节点，完善低空即时配送网络，开展无人机城际运输及末端配送应用。探索开展智能无人机空中通勤。广泛布建无人机地面感知设施，强化重点部位无人机防控装备建设，提升低空安全保障能力。</w:t>
      </w:r>
      <w:r>
        <w:rPr>
          <w:rFonts w:ascii="Times New Roman" w:eastAsia="楷体_GB2312"/>
          <w:bCs/>
          <w:color w:val="000000"/>
          <w:kern w:val="0"/>
          <w:sz w:val="32"/>
          <w:szCs w:val="32"/>
          <w:shd w:val="clear" w:color="auto" w:fill="FFFFFF"/>
        </w:rPr>
        <w:t>（省发展改革委牵头，省委军民融合办、省工业和信息化厅、省科技厅、省交通运输厅、省公安厅、省商务厅、省自然资源厅等按职责分工负责）</w:t>
      </w:r>
    </w:p>
    <w:p w14:paraId="35F6E165">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（四）民生福祉领域</w:t>
      </w:r>
    </w:p>
    <w:p w14:paraId="11FF3C59">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10.</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教育教学。</w:t>
      </w:r>
      <w:r>
        <w:rPr>
          <w:rFonts w:ascii="Times New Roman" w:hAnsi="仿宋_GB2312" w:eastAsia="仿宋_GB2312"/>
          <w:bCs/>
          <w:color w:val="000000"/>
          <w:sz w:val="32"/>
          <w:szCs w:val="32"/>
        </w:rPr>
        <w:t>深入推进长沙市、株洲市开展人工智能赋能教育行动试点，不断拓展应用场景。持续推动湖南智慧教育平台升级改造，开发智能学习助手、教学助手、智能在线辅导、智能课堂分析等一批通用型人工智能教学工具，全面提升平台智能化水平。积极支持大中小学智慧校园建设，实现物理空间与数字空间的三维映射及实时互馈，探索打造校园智能运维新模式。</w:t>
      </w:r>
      <w:r>
        <w:rPr>
          <w:rFonts w:ascii="Times New Roman" w:eastAsia="楷体_GB2312"/>
          <w:bCs/>
          <w:color w:val="000000"/>
          <w:kern w:val="0"/>
          <w:sz w:val="32"/>
          <w:szCs w:val="32"/>
          <w:shd w:val="clear" w:color="auto" w:fill="FFFFFF"/>
        </w:rPr>
        <w:t>（省教育厅牵头，省人力资源社会保障厅、省科技厅等按职责分工负责）</w:t>
      </w:r>
    </w:p>
    <w:p w14:paraId="56A83D0F">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11.</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医疗健康。</w:t>
      </w:r>
      <w:r>
        <w:rPr>
          <w:rFonts w:ascii="Times New Roman" w:hAnsi="仿宋_GB2312" w:eastAsia="仿宋_GB2312"/>
          <w:bCs/>
          <w:color w:val="000000"/>
          <w:sz w:val="32"/>
          <w:szCs w:val="32"/>
        </w:rPr>
        <w:t>加快构建医疗领域知识图谱和知识库，深化人工智能在临床辅助决策、医学影像诊断、慢病管理、医保控费、智能门诊分诊、药物疗效评估、传染病监测预警等融合应用，推动中医药现代化。加大医用机器人、脑机交互等智能产品在手术、康养、护理等场景的推广力度，构建</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预防</w:t>
      </w:r>
      <w:r>
        <w:rPr>
          <w:rFonts w:ascii="Times New Roman" w:hAnsi="Times New Roman" w:eastAsia="仿宋_GB2312"/>
          <w:bCs/>
          <w:color w:val="000000"/>
          <w:sz w:val="32"/>
          <w:szCs w:val="32"/>
        </w:rPr>
        <w:t>-</w:t>
      </w:r>
      <w:r>
        <w:rPr>
          <w:rFonts w:ascii="Times New Roman" w:hAnsi="仿宋_GB2312" w:eastAsia="仿宋_GB2312"/>
          <w:bCs/>
          <w:color w:val="000000"/>
          <w:sz w:val="32"/>
          <w:szCs w:val="32"/>
        </w:rPr>
        <w:t>诊疗</w:t>
      </w:r>
      <w:r>
        <w:rPr>
          <w:rFonts w:ascii="Times New Roman" w:hAnsi="Times New Roman" w:eastAsia="仿宋_GB2312"/>
          <w:bCs/>
          <w:color w:val="000000"/>
          <w:sz w:val="32"/>
          <w:szCs w:val="32"/>
        </w:rPr>
        <w:t>-</w:t>
      </w:r>
      <w:r>
        <w:rPr>
          <w:rFonts w:ascii="Times New Roman" w:hAnsi="仿宋_GB2312" w:eastAsia="仿宋_GB2312"/>
          <w:bCs/>
          <w:color w:val="000000"/>
          <w:sz w:val="32"/>
          <w:szCs w:val="32"/>
        </w:rPr>
        <w:t>康复</w:t>
      </w:r>
      <w:r>
        <w:rPr>
          <w:rFonts w:ascii="Times New Roman" w:hAnsi="Times New Roman" w:eastAsia="仿宋_GB2312"/>
          <w:bCs/>
          <w:color w:val="000000"/>
          <w:sz w:val="32"/>
          <w:szCs w:val="32"/>
        </w:rPr>
        <w:t>-</w:t>
      </w:r>
      <w:r>
        <w:rPr>
          <w:rFonts w:ascii="Times New Roman" w:hAnsi="仿宋_GB2312" w:eastAsia="仿宋_GB2312"/>
          <w:bCs/>
          <w:color w:val="000000"/>
          <w:sz w:val="32"/>
          <w:szCs w:val="32"/>
        </w:rPr>
        <w:t>随访</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全链条智能服务体系。加快在乡村两级推广人工智能辅助诊断系统，提高基层医生诊疗水平和效率。</w:t>
      </w:r>
      <w:r>
        <w:rPr>
          <w:rFonts w:ascii="Times New Roman" w:eastAsia="楷体_GB2312"/>
          <w:bCs/>
          <w:color w:val="000000"/>
          <w:kern w:val="0"/>
          <w:sz w:val="32"/>
          <w:szCs w:val="32"/>
          <w:shd w:val="clear" w:color="auto" w:fill="FFFFFF"/>
        </w:rPr>
        <w:t>（省卫生健康委牵头，省科技厅、省医保局、省药品监管局等按职责分工负责）</w:t>
      </w:r>
    </w:p>
    <w:p w14:paraId="78E162DA">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12.</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高危作业。</w:t>
      </w:r>
      <w:r>
        <w:rPr>
          <w:rFonts w:ascii="Times New Roman" w:hAnsi="仿宋_GB2312" w:eastAsia="仿宋_GB2312"/>
          <w:bCs/>
          <w:color w:val="000000"/>
          <w:sz w:val="32"/>
          <w:szCs w:val="32"/>
        </w:rPr>
        <w:t>加大智能机器人在带电作业、光伏清洗、线路巡检、油气场站巡检、煤矿采掘（剥）、瓦斯检测、高空外墙清洗等高危作业岗位应用。加强应用机器视觉、视频目标空间定位、智能传感、大数据分析等技术，提升建筑施工、危险化学品、矿山、烟花爆竹、燃气等行业安全生产智能化水平，实现非法违法建设及风险隐患早发现、早处置。</w:t>
      </w:r>
      <w:r>
        <w:rPr>
          <w:rFonts w:ascii="Times New Roman" w:eastAsia="楷体_GB2312"/>
          <w:bCs/>
          <w:color w:val="000000"/>
          <w:kern w:val="0"/>
          <w:sz w:val="32"/>
          <w:szCs w:val="32"/>
          <w:shd w:val="clear" w:color="auto" w:fill="FFFFFF"/>
        </w:rPr>
        <w:t>（省应急管理厅、省能源局、省住房城乡建设厅、省自然资源厅等按职责分工负责）</w:t>
      </w:r>
    </w:p>
    <w:p w14:paraId="75ED3A83">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（五）治理能力领域</w:t>
      </w:r>
    </w:p>
    <w:p w14:paraId="052B5307">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13.</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政务服务。</w:t>
      </w:r>
      <w:r>
        <w:rPr>
          <w:rFonts w:ascii="Times New Roman" w:hAnsi="仿宋_GB2312" w:eastAsia="仿宋_GB2312"/>
          <w:bCs/>
          <w:color w:val="000000"/>
          <w:sz w:val="32"/>
          <w:szCs w:val="32"/>
        </w:rPr>
        <w:t>持续迭代</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湘易办</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湘办通</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，探索接入政务大模型，不断提高智能问答、政策匹配、辅助审批、智能派单、风险预警、数据分析等能力，更好赋能</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高效办成一件事</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。推进</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机器管招投标</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垂类大模型建设，智能抓取、自动识别和推送预警关键节点信息，探索主观分评审、投标文件监测等应用场景，构建常见问题知识库，提升线上服务能力，持续营造公平、开放、透明的市场环境。探索推进人工智能赋能社会治理。</w:t>
      </w:r>
      <w:r>
        <w:rPr>
          <w:rFonts w:ascii="Times New Roman" w:eastAsia="楷体_GB2312"/>
          <w:bCs/>
          <w:color w:val="000000"/>
          <w:kern w:val="0"/>
          <w:sz w:val="32"/>
          <w:szCs w:val="32"/>
          <w:shd w:val="clear" w:color="auto" w:fill="FFFFFF"/>
        </w:rPr>
        <w:t>（省数据局、省委机要局牵头，省委政法委、省委社</w:t>
      </w:r>
      <w:r>
        <w:rPr>
          <w:rFonts w:hint="eastAsia" w:ascii="Times New Roman" w:eastAsia="楷体_GB2312"/>
          <w:bCs/>
          <w:color w:val="000000"/>
          <w:kern w:val="0"/>
          <w:sz w:val="32"/>
          <w:szCs w:val="32"/>
          <w:shd w:val="clear" w:color="auto" w:fill="FFFFFF"/>
        </w:rPr>
        <w:t>会</w:t>
      </w:r>
      <w:r>
        <w:rPr>
          <w:rFonts w:ascii="Times New Roman" w:eastAsia="楷体_GB2312"/>
          <w:bCs/>
          <w:color w:val="000000"/>
          <w:kern w:val="0"/>
          <w:sz w:val="32"/>
          <w:szCs w:val="32"/>
          <w:shd w:val="clear" w:color="auto" w:fill="FFFFFF"/>
        </w:rPr>
        <w:t>工</w:t>
      </w:r>
      <w:r>
        <w:rPr>
          <w:rFonts w:hint="eastAsia" w:ascii="Times New Roman" w:eastAsia="楷体_GB2312"/>
          <w:bCs/>
          <w:color w:val="000000"/>
          <w:kern w:val="0"/>
          <w:sz w:val="32"/>
          <w:szCs w:val="32"/>
          <w:shd w:val="clear" w:color="auto" w:fill="FFFFFF"/>
        </w:rPr>
        <w:t>作</w:t>
      </w:r>
      <w:r>
        <w:rPr>
          <w:rFonts w:ascii="Times New Roman" w:eastAsia="楷体_GB2312"/>
          <w:bCs/>
          <w:color w:val="000000"/>
          <w:kern w:val="0"/>
          <w:sz w:val="32"/>
          <w:szCs w:val="32"/>
          <w:shd w:val="clear" w:color="auto" w:fill="FFFFFF"/>
        </w:rPr>
        <w:t>部、省发展改革委、省公共资源交易中心等按职责分工负责）</w:t>
      </w:r>
    </w:p>
    <w:p w14:paraId="492D1BC9">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14.</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人工智能</w:t>
      </w:r>
      <w:r>
        <w:rPr>
          <w:rFonts w:ascii="Times New Roman" w:hAnsi="Times New Roman" w:eastAsia="仿宋_GB2312"/>
          <w:b/>
          <w:color w:val="000000"/>
          <w:kern w:val="0"/>
          <w:sz w:val="32"/>
          <w:szCs w:val="32"/>
          <w:shd w:val="clear" w:color="auto" w:fill="FFFFFF"/>
        </w:rPr>
        <w:t>+</w:t>
      </w:r>
      <w:r>
        <w:rPr>
          <w:rFonts w:hint="eastAsia" w:ascii="仿宋_GB2312" w:hAnsi="Times New Roman" w:eastAsia="仿宋_GB2312"/>
          <w:b/>
          <w:color w:val="000000"/>
          <w:kern w:val="0"/>
          <w:sz w:val="32"/>
          <w:szCs w:val="32"/>
          <w:shd w:val="clear" w:color="auto" w:fill="FFFFFF"/>
        </w:rPr>
        <w:t>”</w:t>
      </w:r>
      <w:r>
        <w:rPr>
          <w:rFonts w:ascii="Times New Roman" w:eastAsia="仿宋_GB2312"/>
          <w:b/>
          <w:color w:val="000000"/>
          <w:kern w:val="0"/>
          <w:sz w:val="32"/>
          <w:szCs w:val="32"/>
          <w:shd w:val="clear" w:color="auto" w:fill="FFFFFF"/>
        </w:rPr>
        <w:t>应急管理。</w:t>
      </w:r>
      <w:r>
        <w:rPr>
          <w:rFonts w:ascii="Times New Roman" w:hAnsi="仿宋_GB2312" w:eastAsia="仿宋_GB2312"/>
          <w:bCs/>
          <w:color w:val="000000"/>
          <w:sz w:val="32"/>
          <w:szCs w:val="32"/>
        </w:rPr>
        <w:t>构建行业高质量数据集，增强人工智能在灾害事故风险监测、应急响应、复盘分析等环节辅助决策的能力。加大推广全地形、轻型化智能机器人和</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铁塔哨兵</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系统，</w:t>
      </w:r>
      <w:r>
        <w:rPr>
          <w:rFonts w:hint="eastAsia" w:ascii="Times New Roman" w:hAnsi="仿宋_GB2312" w:eastAsia="仿宋_GB2312"/>
          <w:bCs/>
          <w:color w:val="000000"/>
          <w:sz w:val="32"/>
          <w:szCs w:val="32"/>
        </w:rPr>
        <w:t>增强</w:t>
      </w:r>
      <w:r>
        <w:rPr>
          <w:rFonts w:ascii="Times New Roman" w:hAnsi="仿宋_GB2312" w:eastAsia="仿宋_GB2312"/>
          <w:bCs/>
          <w:color w:val="000000"/>
          <w:sz w:val="32"/>
          <w:szCs w:val="32"/>
        </w:rPr>
        <w:t>多模态感知、复杂指令理解等能力，加大在巡堤查险、隐患排查、灾害事故救援、森林防灭火等场景中的应用，</w:t>
      </w:r>
      <w:r>
        <w:rPr>
          <w:rFonts w:hint="eastAsia" w:ascii="Times New Roman" w:hAnsi="仿宋_GB2312" w:eastAsia="仿宋_GB2312"/>
          <w:bCs/>
          <w:color w:val="000000"/>
          <w:sz w:val="32"/>
          <w:szCs w:val="32"/>
        </w:rPr>
        <w:t>提升</w:t>
      </w:r>
      <w:r>
        <w:rPr>
          <w:rFonts w:ascii="Times New Roman" w:hAnsi="仿宋_GB2312" w:eastAsia="仿宋_GB2312"/>
          <w:bCs/>
          <w:color w:val="000000"/>
          <w:sz w:val="32"/>
          <w:szCs w:val="32"/>
        </w:rPr>
        <w:t>不同地质区域灾害预警</w:t>
      </w:r>
      <w:r>
        <w:rPr>
          <w:rFonts w:hint="eastAsia" w:ascii="Times New Roman" w:hAnsi="仿宋_GB2312" w:eastAsia="仿宋_GB2312"/>
          <w:bCs/>
          <w:color w:val="000000"/>
          <w:sz w:val="32"/>
          <w:szCs w:val="32"/>
        </w:rPr>
        <w:t>水平</w:t>
      </w:r>
      <w:r>
        <w:rPr>
          <w:rFonts w:ascii="Times New Roman" w:hAnsi="仿宋_GB2312" w:eastAsia="仿宋_GB2312"/>
          <w:bCs/>
          <w:color w:val="000000"/>
          <w:sz w:val="32"/>
          <w:szCs w:val="32"/>
        </w:rPr>
        <w:t>。围绕堤坝渗漏、管涌、空洞、崩岸等隐患，加快应用智能感知探测设备，实现从人防、技防向智防转变。</w:t>
      </w:r>
      <w:r>
        <w:rPr>
          <w:rFonts w:ascii="Times New Roman" w:eastAsia="楷体_GB2312"/>
          <w:bCs/>
          <w:color w:val="000000"/>
          <w:kern w:val="0"/>
          <w:sz w:val="32"/>
          <w:szCs w:val="32"/>
          <w:shd w:val="clear" w:color="auto" w:fill="FFFFFF"/>
        </w:rPr>
        <w:t>（省应急管理厅牵头，省水利厅、省科技厅、省自然资源厅等按职责分工负责）</w:t>
      </w:r>
    </w:p>
    <w:p w14:paraId="458269D9">
      <w:pPr>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三、实施路径</w:t>
      </w:r>
    </w:p>
    <w:p w14:paraId="1970C187">
      <w:pPr>
        <w:adjustRightInd w:val="0"/>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（一）产业提质行动。</w:t>
      </w:r>
      <w:r>
        <w:rPr>
          <w:rFonts w:ascii="Times New Roman" w:hAnsi="仿宋_GB2312" w:eastAsia="仿宋_GB2312"/>
          <w:bCs/>
          <w:color w:val="000000"/>
          <w:sz w:val="32"/>
          <w:szCs w:val="32"/>
        </w:rPr>
        <w:t>以应用为牵引，滚动培育一批重点企业，打造一批示范场景。支持省内芯片骨干企业重点突破高算力</w:t>
      </w:r>
      <w:r>
        <w:rPr>
          <w:rFonts w:ascii="Times New Roman" w:hAnsi="Times New Roman" w:eastAsia="仿宋_GB2312"/>
          <w:bCs/>
          <w:color w:val="000000"/>
          <w:sz w:val="32"/>
          <w:szCs w:val="32"/>
        </w:rPr>
        <w:t>GPU</w:t>
      </w:r>
      <w:r>
        <w:rPr>
          <w:rFonts w:ascii="Times New Roman" w:hAnsi="仿宋_GB2312" w:eastAsia="仿宋_GB2312"/>
          <w:bCs/>
          <w:color w:val="000000"/>
          <w:sz w:val="32"/>
          <w:szCs w:val="32"/>
        </w:rPr>
        <w:t>、光通信等芯片，积极发展面向人工智能终端需求的</w:t>
      </w:r>
      <w:r>
        <w:rPr>
          <w:rFonts w:ascii="Times New Roman" w:hAnsi="Times New Roman" w:eastAsia="仿宋_GB2312"/>
          <w:bCs/>
          <w:color w:val="000000"/>
          <w:sz w:val="32"/>
          <w:szCs w:val="32"/>
        </w:rPr>
        <w:t>RISC-V</w:t>
      </w:r>
      <w:r>
        <w:rPr>
          <w:rFonts w:ascii="Times New Roman" w:hAnsi="仿宋_GB2312" w:eastAsia="仿宋_GB2312"/>
          <w:bCs/>
          <w:color w:val="000000"/>
          <w:sz w:val="32"/>
          <w:szCs w:val="32"/>
        </w:rPr>
        <w:t>芯片。加快消费电子、工业控制、医疗器械等领域智能传感器开发和规模化生产。支持</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AI+</w:t>
      </w:r>
      <w:r>
        <w:rPr>
          <w:rFonts w:ascii="Times New Roman" w:hAnsi="仿宋_GB2312" w:eastAsia="仿宋_GB2312"/>
          <w:bCs/>
          <w:color w:val="000000"/>
          <w:sz w:val="32"/>
          <w:szCs w:val="32"/>
        </w:rPr>
        <w:t>操作系统</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研发及应用，加快工业软件智能化创新突破，深化智能体在软件领域应用，推动软件信息服务业智能化转型。鼓励和支持建设一批人工智能开源社区、创新平台、生态创新中心，培育一批人工智能优质开源项目及商业发行版软件产品。加快人形机器人、四足机器人、智能穿戴设备、智能家居等智能终端零部件及整机产品研发生产。推动马栏山视频文创园加快发展数字人，构建完整数字人产业链生态图谱。</w:t>
      </w:r>
      <w:r>
        <w:rPr>
          <w:rFonts w:ascii="Times New Roman" w:eastAsia="楷体_GB2312"/>
          <w:bCs/>
          <w:color w:val="000000"/>
          <w:kern w:val="0"/>
          <w:sz w:val="32"/>
          <w:szCs w:val="32"/>
          <w:shd w:val="clear" w:color="auto" w:fill="FFFFFF"/>
        </w:rPr>
        <w:t>（省工业和信息化厅牵头，省科技厅、省发展改革委等按职责分工负责）</w:t>
      </w:r>
    </w:p>
    <w:p w14:paraId="7D4DE28A">
      <w:pPr>
        <w:adjustRightInd w:val="0"/>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（二）科技创新行动。</w:t>
      </w:r>
      <w:r>
        <w:rPr>
          <w:rFonts w:ascii="Times New Roman" w:hAnsi="仿宋_GB2312" w:eastAsia="仿宋_GB2312"/>
          <w:bCs/>
          <w:color w:val="000000"/>
          <w:sz w:val="32"/>
          <w:szCs w:val="32"/>
        </w:rPr>
        <w:t>以创新为核心，滚动建设一批重点科技创新平台，打造一批未来场景。纵深推进与上海交通大学、复旦大学等</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大院大所大校大企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战略合作，联合开展一批新技术攻关。依托国防科技大学、中南大学、湖南大学、</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四大实验室</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湖南先进技术研究院、北京大学长沙计算与数字经济研究院等高校和新型研发机构，供给更多人工智能原创性、颠覆性技术。梳理重点行业人工智能应用共性技术需求，布局实施一批科技计划。健全技术转移服务体系，深化</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双高对接</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，推进校企合作</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双进双转</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，布局一批中试基地（平台）、概念验证中心，推进科技成果转化。鼓励省直部门、市州通过编制场景创新成果推荐目录等方式，助力企业实现场景创新突破。</w:t>
      </w:r>
      <w:r>
        <w:rPr>
          <w:rFonts w:ascii="Times New Roman" w:eastAsia="楷体_GB2312"/>
          <w:bCs/>
          <w:color w:val="000000"/>
          <w:kern w:val="0"/>
          <w:sz w:val="32"/>
          <w:szCs w:val="32"/>
          <w:shd w:val="clear" w:color="auto" w:fill="FFFFFF"/>
        </w:rPr>
        <w:t>（省科技厅牵头，省教育厅、省工业和信息化厅、省发展改革委、省数据局等按职责分工负责）</w:t>
      </w:r>
    </w:p>
    <w:p w14:paraId="35B243A3">
      <w:pPr>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（三）筑底强基行动。</w:t>
      </w:r>
      <w:r>
        <w:rPr>
          <w:rFonts w:ascii="Times New Roman" w:hAnsi="仿宋_GB2312" w:eastAsia="仿宋_GB2312"/>
          <w:bCs/>
          <w:color w:val="000000"/>
          <w:sz w:val="32"/>
          <w:szCs w:val="32"/>
        </w:rPr>
        <w:t>按照国家有关政策要求，持续夯实算力底座，积极推动绿电与算力协同发展，构建以智能算力为主的算力供给体系。培育壮大数据处理和数据服务产业，支持长沙市加快推进国家数据标注基地建设。推动各类建设主体加强高质量数据集和语料库建设，建立健全行业数据集相关标准，推动数据集技术创新，构建高水平数据集管理体系。综合湖南优势领域，支持加快研发布局智能制造、音视频、医疗健康等垂直领域行业大模型，打造具有多模态数据、知</w:t>
      </w:r>
      <w:r>
        <w:rPr>
          <w:rFonts w:ascii="Times New Roman" w:hAnsi="仿宋_GB2312" w:eastAsia="仿宋_GB2312"/>
          <w:bCs/>
          <w:color w:val="000000"/>
          <w:kern w:val="0"/>
          <w:sz w:val="32"/>
          <w:szCs w:val="32"/>
          <w:shd w:val="clear" w:color="auto" w:fill="FFFFFF"/>
        </w:rPr>
        <w:t>识深度融合、比较优势突出的行业大模型体系。</w:t>
      </w:r>
      <w:r>
        <w:rPr>
          <w:rFonts w:ascii="Times New Roman" w:eastAsia="楷体_GB2312"/>
          <w:bCs/>
          <w:color w:val="000000"/>
          <w:kern w:val="0"/>
          <w:sz w:val="32"/>
          <w:szCs w:val="32"/>
          <w:shd w:val="clear" w:color="auto" w:fill="FFFFFF"/>
        </w:rPr>
        <w:t>（省发展改革委、省工业和信息化厅、省数据局等按职责分工负责）</w:t>
      </w:r>
    </w:p>
    <w:p w14:paraId="3FAD094A">
      <w:pPr>
        <w:adjustRightInd w:val="0"/>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（四）人才引育行动。</w:t>
      </w:r>
      <w:r>
        <w:rPr>
          <w:rFonts w:ascii="Times New Roman" w:hAnsi="仿宋_GB2312" w:eastAsia="仿宋_GB2312"/>
          <w:bCs/>
          <w:color w:val="000000"/>
          <w:sz w:val="32"/>
          <w:szCs w:val="32"/>
        </w:rPr>
        <w:t>深入实施</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芙蓉计划</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积极引进海外人工智能领域高端人才。支持举办高水平人工智能场景创新大赛活动，发挥高能级创新平台、行业龙头企业等机构的人才集聚作用，引育一批具有场景创新意识和能力的专业人才。支持中南大学、湖南大学等高校和科研院所在人工智能领域与海外合作伙伴共建联合实验室。支持省内高校整合汇聚优势资源，建设一批人工智能学院。鼓励高校将人工智能理念、知识、方法和技术融入人才培养全过程，全面提升学生人工智能素养，赋能学生创新创业与成才成长。在</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数字技术应用能力水平考试</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中开展人工智能知识测试，提升专业技术人员人工智能知识素养。</w:t>
      </w:r>
      <w:r>
        <w:rPr>
          <w:rFonts w:ascii="Times New Roman" w:eastAsia="楷体_GB2312"/>
          <w:bCs/>
          <w:color w:val="000000"/>
          <w:kern w:val="0"/>
          <w:sz w:val="32"/>
          <w:szCs w:val="32"/>
          <w:shd w:val="clear" w:color="auto" w:fill="FFFFFF"/>
        </w:rPr>
        <w:t>（省委组织部牵头，省人力资源社会保障厅、省教育厅、省科技厅等按职责分工负责）</w:t>
      </w:r>
    </w:p>
    <w:p w14:paraId="7B53D1B7">
      <w:pPr>
        <w:adjustRightInd w:val="0"/>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（五）改革赋能行动。</w:t>
      </w:r>
      <w:r>
        <w:rPr>
          <w:rFonts w:ascii="Times New Roman" w:hAnsi="仿宋_GB2312" w:eastAsia="仿宋_GB2312"/>
          <w:bCs/>
          <w:color w:val="000000"/>
          <w:sz w:val="32"/>
          <w:szCs w:val="32"/>
        </w:rPr>
        <w:t>适时推动《湖南省人工智能应用促进条例》立法，营造包容审慎的监管环境。持续完善市场准入规则、监管体系，全面推行</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非禁即入</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建立容错机制，鼓励创新主体在特定区域、特定场景内开展首创探索。支持长沙国家新一代人工智能创新发展试验区、长沙国家人工智能创新应用先导区先行先试，探索开展监管沙盒、数据版权、伦理治理等制度试点。高水平推进湖南省国家数据要素综合试验区建设，深化数据要素市场化配置改革。</w:t>
      </w:r>
      <w:r>
        <w:rPr>
          <w:rFonts w:ascii="Times New Roman" w:eastAsia="楷体_GB2312"/>
          <w:bCs/>
          <w:color w:val="000000"/>
          <w:kern w:val="0"/>
          <w:sz w:val="32"/>
          <w:szCs w:val="32"/>
          <w:shd w:val="clear" w:color="auto" w:fill="FFFFFF"/>
        </w:rPr>
        <w:t>（省发展改革委、省司法厅、省工业和信息化厅、省科技厅、省数据局等按职责分工负责）</w:t>
      </w:r>
    </w:p>
    <w:p w14:paraId="124ADB37">
      <w:pPr>
        <w:adjustRightInd w:val="0"/>
        <w:snapToGrid w:val="0"/>
        <w:spacing w:line="600" w:lineRule="exact"/>
        <w:ind w:firstLine="643" w:firstLineChars="200"/>
        <w:rPr>
          <w:rFonts w:ascii="Times New Roman" w:hAnsi="Times New Roman" w:eastAsia="楷体_GB2312"/>
          <w:b/>
          <w:color w:val="000000"/>
          <w:kern w:val="0"/>
          <w:sz w:val="32"/>
          <w:szCs w:val="32"/>
          <w:shd w:val="clear" w:color="auto" w:fill="FFFFFF"/>
        </w:rPr>
      </w:pPr>
      <w:r>
        <w:rPr>
          <w:rFonts w:ascii="Times New Roman" w:eastAsia="楷体_GB2312"/>
          <w:b/>
          <w:color w:val="000000"/>
          <w:kern w:val="0"/>
          <w:sz w:val="32"/>
          <w:szCs w:val="32"/>
          <w:shd w:val="clear" w:color="auto" w:fill="FFFFFF"/>
        </w:rPr>
        <w:t>（六）开放合作行动。</w:t>
      </w:r>
      <w:r>
        <w:rPr>
          <w:rFonts w:ascii="Times New Roman" w:hAnsi="仿宋_GB2312" w:eastAsia="仿宋_GB2312"/>
          <w:bCs/>
          <w:color w:val="000000"/>
          <w:sz w:val="32"/>
          <w:szCs w:val="32"/>
        </w:rPr>
        <w:t>依托中国（湖南）自由贸易试验区、中非经贸深度合作先行区等国家级平台，探索深化人工智能领域高水平开放。发挥中非经贸博览会、北斗规模应用国际峰会等平台作用，推动我省人工智能技术、产品走向世界。支持企业加快国际化布局，逐步扩大海外场景应用市场份额。积极参与人工智能国际标准制定。深化与人工智能相关国际组织交流合作。积极向国家申报数据海关和数据大使馆建设，促进数据企业出海和境外数据回流。鼓励外资企业在湘布局人工智能应用场景。全力争取面向非洲的人工智能应用合作中心布局湖南，推动更多人工智能技术、产品、标准、应用落地非洲，共同促进人工智能普惠共享。</w:t>
      </w:r>
      <w:r>
        <w:rPr>
          <w:rFonts w:ascii="Times New Roman" w:eastAsia="楷体_GB2312"/>
          <w:bCs/>
          <w:color w:val="000000"/>
          <w:kern w:val="0"/>
          <w:sz w:val="32"/>
          <w:szCs w:val="32"/>
          <w:shd w:val="clear" w:color="auto" w:fill="FFFFFF"/>
        </w:rPr>
        <w:t>（省商务厅、省工业和信息化厅、省发展改革委、省</w:t>
      </w:r>
      <w:r>
        <w:rPr>
          <w:rFonts w:hint="eastAsia" w:ascii="Times New Roman" w:eastAsia="楷体_GB2312"/>
          <w:bCs/>
          <w:color w:val="000000"/>
          <w:kern w:val="0"/>
          <w:sz w:val="32"/>
          <w:szCs w:val="32"/>
          <w:shd w:val="clear" w:color="auto" w:fill="FFFFFF"/>
        </w:rPr>
        <w:t>委</w:t>
      </w:r>
      <w:r>
        <w:rPr>
          <w:rFonts w:ascii="Times New Roman" w:eastAsia="楷体_GB2312"/>
          <w:bCs/>
          <w:color w:val="000000"/>
          <w:kern w:val="0"/>
          <w:sz w:val="32"/>
          <w:szCs w:val="32"/>
          <w:shd w:val="clear" w:color="auto" w:fill="FFFFFF"/>
        </w:rPr>
        <w:t>外事办、省科技厅、省市场监管局、省数据局等按职责分工负责）</w:t>
      </w:r>
    </w:p>
    <w:p w14:paraId="4DA6E133">
      <w:pPr>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四、保障措施</w:t>
      </w:r>
    </w:p>
    <w:p w14:paraId="62275C21">
      <w:pPr>
        <w:pStyle w:val="2"/>
        <w:snapToGrid w:val="0"/>
        <w:spacing w:line="600" w:lineRule="exact"/>
        <w:ind w:firstLine="643" w:firstLineChars="200"/>
        <w:jc w:val="both"/>
        <w:rPr>
          <w:rFonts w:ascii="Times New Roman" w:hAnsi="Times New Roman" w:eastAsia="仿宋_GB2312"/>
          <w:bCs/>
          <w:color w:val="000000"/>
          <w:sz w:val="32"/>
          <w:szCs w:val="32"/>
        </w:rPr>
      </w:pPr>
      <w:r>
        <w:rPr>
          <w:rFonts w:ascii="Times New Roman" w:eastAsia="楷体_GB2312"/>
          <w:b/>
          <w:color w:val="000000"/>
          <w:kern w:val="0"/>
          <w:sz w:val="32"/>
          <w:szCs w:val="32"/>
          <w:shd w:val="clear" w:color="auto" w:fill="FFFFFF"/>
        </w:rPr>
        <w:t>（一）加强组织领导。</w:t>
      </w:r>
      <w:r>
        <w:rPr>
          <w:rFonts w:ascii="Times New Roman" w:hAnsi="仿宋_GB2312" w:eastAsia="仿宋_GB2312"/>
          <w:bCs/>
          <w:color w:val="000000"/>
          <w:sz w:val="32"/>
          <w:szCs w:val="32"/>
        </w:rPr>
        <w:t>省级层面建立</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行动协调机制，由省发展改革委、省工业和信息化厅双牵头，统筹推进全省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行动。省科技厅、省数据局等部门根据职责分工加强协同配合，形成工作合力。</w:t>
      </w:r>
    </w:p>
    <w:p w14:paraId="5532DB47">
      <w:pPr>
        <w:pStyle w:val="2"/>
        <w:snapToGrid w:val="0"/>
        <w:spacing w:line="600" w:lineRule="exact"/>
        <w:ind w:firstLine="643" w:firstLineChars="200"/>
        <w:jc w:val="both"/>
        <w:rPr>
          <w:rFonts w:ascii="Times New Roman" w:hAnsi="Times New Roman" w:eastAsia="仿宋_GB2312"/>
          <w:b/>
          <w:color w:val="000000"/>
          <w:kern w:val="0"/>
          <w:sz w:val="32"/>
          <w:szCs w:val="32"/>
          <w:shd w:val="clear" w:color="auto" w:fill="FFFFFF"/>
        </w:rPr>
      </w:pPr>
      <w:r>
        <w:rPr>
          <w:rFonts w:ascii="Times New Roman" w:eastAsia="楷体_GB2312"/>
          <w:b/>
          <w:color w:val="000000"/>
          <w:kern w:val="0"/>
          <w:sz w:val="32"/>
          <w:szCs w:val="32"/>
          <w:shd w:val="clear" w:color="auto" w:fill="FFFFFF"/>
        </w:rPr>
        <w:t>（二）加大政策保障。</w:t>
      </w:r>
      <w:r>
        <w:rPr>
          <w:rFonts w:ascii="Times New Roman" w:hAnsi="仿宋_GB2312" w:eastAsia="仿宋_GB2312"/>
          <w:bCs/>
          <w:color w:val="000000"/>
          <w:sz w:val="32"/>
          <w:szCs w:val="32"/>
        </w:rPr>
        <w:t>积极争取人工智能领域国家政策支持。出台并落实十大支持措施，对评选出的重点企业、示范场景、未来场景、重点科技创新平台给予支持。推动金芙蓉基金撬动社会资本支持人工智能应用。</w:t>
      </w:r>
    </w:p>
    <w:p w14:paraId="79FAED05">
      <w:pPr>
        <w:pStyle w:val="2"/>
        <w:adjustRightInd w:val="0"/>
        <w:snapToGrid w:val="0"/>
        <w:spacing w:line="600" w:lineRule="exact"/>
        <w:ind w:firstLine="643" w:firstLineChars="200"/>
        <w:jc w:val="both"/>
        <w:rPr>
          <w:rFonts w:ascii="Times New Roman" w:hAnsi="Times New Roman" w:eastAsia="仿宋_GB2312"/>
          <w:b/>
          <w:color w:val="000000"/>
          <w:kern w:val="0"/>
          <w:sz w:val="32"/>
          <w:szCs w:val="32"/>
          <w:shd w:val="clear" w:color="auto" w:fill="FFFFFF"/>
        </w:rPr>
      </w:pPr>
      <w:r>
        <w:rPr>
          <w:rFonts w:ascii="Times New Roman" w:eastAsia="楷体_GB2312"/>
          <w:b/>
          <w:color w:val="000000"/>
          <w:kern w:val="0"/>
          <w:sz w:val="32"/>
          <w:szCs w:val="32"/>
          <w:shd w:val="clear" w:color="auto" w:fill="FFFFFF"/>
        </w:rPr>
        <w:t>（三）优化应用生态。</w:t>
      </w:r>
      <w:r>
        <w:rPr>
          <w:rFonts w:ascii="Times New Roman" w:hAnsi="仿宋_GB2312" w:eastAsia="仿宋_GB2312"/>
          <w:bCs/>
          <w:color w:val="000000"/>
          <w:sz w:val="32"/>
          <w:szCs w:val="32"/>
        </w:rPr>
        <w:t>打造一批人工智能应用孵化器。推进城市全域数字化转型，推动政府机关、事业单位、国有企业先行先试创新型产品和应用场景。充分利用</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人工智能日</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全国科普日</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等重要时间节点，深入开展宣传报道。</w:t>
      </w:r>
    </w:p>
    <w:p w14:paraId="7DF5043A">
      <w:pPr>
        <w:pStyle w:val="2"/>
        <w:adjustRightInd w:val="0"/>
        <w:snapToGrid w:val="0"/>
        <w:spacing w:line="600" w:lineRule="exact"/>
        <w:ind w:firstLine="643" w:firstLineChars="200"/>
        <w:jc w:val="both"/>
        <w:rPr>
          <w:rFonts w:ascii="Times New Roman" w:hAnsi="Times New Roman" w:eastAsia="仿宋_GB2312"/>
          <w:b/>
          <w:color w:val="000000"/>
          <w:sz w:val="32"/>
          <w:szCs w:val="32"/>
        </w:rPr>
      </w:pPr>
      <w:r>
        <w:rPr>
          <w:rFonts w:ascii="Times New Roman" w:eastAsia="楷体_GB2312"/>
          <w:b/>
          <w:color w:val="000000"/>
          <w:kern w:val="0"/>
          <w:sz w:val="32"/>
          <w:szCs w:val="32"/>
          <w:shd w:val="clear" w:color="auto" w:fill="FFFFFF"/>
        </w:rPr>
        <w:t>（四）注重安全发展。</w:t>
      </w:r>
      <w:r>
        <w:rPr>
          <w:rFonts w:ascii="Times New Roman" w:hAnsi="仿宋_GB2312" w:eastAsia="仿宋_GB2312"/>
          <w:bCs/>
          <w:color w:val="000000"/>
          <w:sz w:val="32"/>
          <w:szCs w:val="32"/>
        </w:rPr>
        <w:t>加快应用数据空间、区块链、隐私计算等技术，强化信息精准识别、态势主动研判、风险实时处置等能力，防止算法漏洞、数据泄露、身份伪造等风险。建立健全人工智能技术监测、风险预警、应急响应、伦理治理体系，促进人工智能产业健康有序发展。</w:t>
      </w:r>
    </w:p>
    <w:p w14:paraId="2567A97A">
      <w:pPr>
        <w:pStyle w:val="2"/>
        <w:adjustRightInd w:val="0"/>
        <w:snapToGrid w:val="0"/>
        <w:spacing w:line="600" w:lineRule="exact"/>
        <w:ind w:firstLine="640" w:firstLineChars="200"/>
        <w:jc w:val="both"/>
        <w:rPr>
          <w:rFonts w:ascii="Times New Roman" w:hAnsi="Times New Roman" w:eastAsia="仿宋_GB2312"/>
          <w:bCs/>
          <w:color w:val="000000"/>
          <w:sz w:val="32"/>
          <w:szCs w:val="32"/>
        </w:rPr>
      </w:pPr>
      <w:r>
        <w:rPr>
          <w:rFonts w:ascii="Times New Roman" w:hAnsi="仿宋_GB2312" w:eastAsia="仿宋_GB2312"/>
          <w:bCs/>
          <w:color w:val="000000"/>
          <w:sz w:val="32"/>
          <w:szCs w:val="32"/>
        </w:rPr>
        <w:t>本实施方案自发布之日起施行，有效期</w:t>
      </w:r>
      <w:r>
        <w:rPr>
          <w:rFonts w:ascii="Times New Roman" w:hAnsi="Times New Roman" w:eastAsia="仿宋_GB2312"/>
          <w:bCs/>
          <w:color w:val="000000"/>
          <w:sz w:val="32"/>
          <w:szCs w:val="32"/>
        </w:rPr>
        <w:t>5</w:t>
      </w:r>
      <w:r>
        <w:rPr>
          <w:rFonts w:ascii="Times New Roman" w:hAnsi="仿宋_GB2312" w:eastAsia="仿宋_GB2312"/>
          <w:bCs/>
          <w:color w:val="000000"/>
          <w:sz w:val="32"/>
          <w:szCs w:val="32"/>
        </w:rPr>
        <w:t>年。</w:t>
      </w:r>
    </w:p>
    <w:p w14:paraId="033593F8">
      <w:pPr>
        <w:pStyle w:val="2"/>
        <w:adjustRightInd w:val="0"/>
        <w:snapToGrid w:val="0"/>
        <w:spacing w:line="600" w:lineRule="exact"/>
        <w:ind w:firstLine="643" w:firstLineChars="200"/>
        <w:rPr>
          <w:rFonts w:ascii="Times New Roman" w:hAnsi="Times New Roman" w:eastAsia="仿宋_GB2312"/>
          <w:b/>
          <w:color w:val="000000"/>
          <w:sz w:val="32"/>
          <w:szCs w:val="32"/>
        </w:rPr>
      </w:pPr>
    </w:p>
    <w:p w14:paraId="5617EFEC">
      <w:pPr>
        <w:pStyle w:val="2"/>
        <w:adjustRightInd w:val="0"/>
        <w:snapToGrid w:val="0"/>
        <w:spacing w:line="600" w:lineRule="exact"/>
        <w:ind w:left="2095" w:leftChars="294" w:hanging="1478" w:hangingChars="462"/>
        <w:jc w:val="both"/>
        <w:rPr>
          <w:rFonts w:ascii="Times New Roman" w:hAnsi="Times New Roman" w:eastAsia="仿宋_GB2312"/>
          <w:bCs/>
          <w:color w:val="000000"/>
          <w:sz w:val="32"/>
          <w:szCs w:val="32"/>
        </w:rPr>
      </w:pPr>
      <w:r>
        <w:rPr>
          <w:rFonts w:ascii="Times New Roman" w:hAnsi="仿宋_GB2312" w:eastAsia="仿宋_GB2312"/>
          <w:bCs/>
          <w:color w:val="000000"/>
          <w:sz w:val="32"/>
          <w:szCs w:val="32"/>
        </w:rPr>
        <w:t>附件：</w:t>
      </w:r>
      <w:r>
        <w:rPr>
          <w:rFonts w:ascii="Times New Roman" w:hAnsi="Times New Roman" w:eastAsia="仿宋_GB2312"/>
          <w:bCs/>
          <w:color w:val="000000"/>
          <w:sz w:val="32"/>
          <w:szCs w:val="32"/>
        </w:rPr>
        <w:t>1</w:t>
      </w:r>
      <w:r>
        <w:rPr>
          <w:rFonts w:hint="eastAsia" w:ascii="Times New Roman" w:hAnsi="Times New Roman" w:eastAsia="仿宋_GB2312"/>
          <w:bCs/>
          <w:color w:val="000000"/>
          <w:sz w:val="32"/>
          <w:szCs w:val="32"/>
        </w:rPr>
        <w:t>．</w:t>
      </w:r>
      <w:r>
        <w:rPr>
          <w:rFonts w:ascii="Times New Roman" w:hAnsi="仿宋_GB2312" w:eastAsia="仿宋_GB2312"/>
          <w:bCs/>
          <w:color w:val="000000"/>
          <w:sz w:val="32"/>
          <w:szCs w:val="32"/>
        </w:rPr>
        <w:t>湖南省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十大重点企业</w:t>
      </w:r>
    </w:p>
    <w:p w14:paraId="7FCB98DE">
      <w:pPr>
        <w:pStyle w:val="2"/>
        <w:adjustRightInd w:val="0"/>
        <w:snapToGrid w:val="0"/>
        <w:spacing w:line="600" w:lineRule="exact"/>
        <w:ind w:left="1866" w:leftChars="759" w:hanging="272" w:hangingChars="85"/>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2</w:t>
      </w:r>
      <w:r>
        <w:rPr>
          <w:rFonts w:hint="eastAsia" w:ascii="Times New Roman" w:hAnsi="Times New Roman" w:eastAsia="仿宋_GB2312"/>
          <w:bCs/>
          <w:color w:val="000000"/>
          <w:sz w:val="32"/>
          <w:szCs w:val="32"/>
        </w:rPr>
        <w:t>．</w:t>
      </w:r>
      <w:r>
        <w:rPr>
          <w:rFonts w:ascii="Times New Roman" w:hAnsi="仿宋_GB2312" w:eastAsia="仿宋_GB2312"/>
          <w:bCs/>
          <w:color w:val="000000"/>
          <w:sz w:val="32"/>
          <w:szCs w:val="32"/>
        </w:rPr>
        <w:t>湖南省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十大示范场景</w:t>
      </w:r>
    </w:p>
    <w:p w14:paraId="1458509E">
      <w:pPr>
        <w:pStyle w:val="2"/>
        <w:adjustRightInd w:val="0"/>
        <w:snapToGrid w:val="0"/>
        <w:spacing w:line="600" w:lineRule="exact"/>
        <w:ind w:left="1866" w:leftChars="759" w:hanging="272" w:hangingChars="85"/>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3</w:t>
      </w:r>
      <w:r>
        <w:rPr>
          <w:rFonts w:hint="eastAsia" w:ascii="Times New Roman" w:hAnsi="Times New Roman" w:eastAsia="仿宋_GB2312"/>
          <w:bCs/>
          <w:color w:val="000000"/>
          <w:sz w:val="32"/>
          <w:szCs w:val="32"/>
        </w:rPr>
        <w:t>．</w:t>
      </w:r>
      <w:r>
        <w:rPr>
          <w:rFonts w:ascii="Times New Roman" w:hAnsi="仿宋_GB2312" w:eastAsia="仿宋_GB2312"/>
          <w:bCs/>
          <w:color w:val="000000"/>
          <w:sz w:val="32"/>
          <w:szCs w:val="32"/>
        </w:rPr>
        <w:t>湖南省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十大未来场景</w:t>
      </w:r>
    </w:p>
    <w:p w14:paraId="05B07251">
      <w:pPr>
        <w:pStyle w:val="2"/>
        <w:adjustRightInd w:val="0"/>
        <w:snapToGrid w:val="0"/>
        <w:spacing w:line="600" w:lineRule="exact"/>
        <w:ind w:left="2097" w:leftChars="758" w:hanging="505" w:hangingChars="158"/>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4</w:t>
      </w:r>
      <w:r>
        <w:rPr>
          <w:rFonts w:hint="eastAsia" w:ascii="Times New Roman" w:hAnsi="Times New Roman" w:eastAsia="仿宋_GB2312"/>
          <w:bCs/>
          <w:color w:val="000000"/>
          <w:sz w:val="32"/>
          <w:szCs w:val="32"/>
        </w:rPr>
        <w:t>．</w:t>
      </w:r>
      <w:r>
        <w:rPr>
          <w:rFonts w:ascii="Times New Roman" w:hAnsi="仿宋_GB2312" w:eastAsia="仿宋_GB2312"/>
          <w:bCs/>
          <w:color w:val="000000"/>
          <w:sz w:val="32"/>
          <w:szCs w:val="32"/>
        </w:rPr>
        <w:t>湖南省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十大重点科技创新平台（首批）</w:t>
      </w:r>
    </w:p>
    <w:p w14:paraId="429236D4">
      <w:pPr>
        <w:pStyle w:val="2"/>
        <w:adjustRightInd w:val="0"/>
        <w:snapToGrid w:val="0"/>
        <w:spacing w:line="600" w:lineRule="exact"/>
        <w:ind w:left="1866" w:leftChars="759" w:hanging="272" w:hangingChars="85"/>
        <w:jc w:val="both"/>
        <w:rPr>
          <w:rFonts w:ascii="Times New Roman" w:hAnsi="Times New Roman" w:eastAsia="仿宋_GB2312"/>
          <w:bCs/>
          <w:color w:val="000000"/>
          <w:sz w:val="32"/>
          <w:szCs w:val="32"/>
        </w:rPr>
      </w:pPr>
      <w:r>
        <w:rPr>
          <w:rFonts w:ascii="Times New Roman" w:hAnsi="Times New Roman" w:eastAsia="仿宋_GB2312"/>
          <w:bCs/>
          <w:color w:val="000000"/>
          <w:sz w:val="32"/>
          <w:szCs w:val="32"/>
        </w:rPr>
        <w:t>5</w:t>
      </w:r>
      <w:r>
        <w:rPr>
          <w:rFonts w:hint="eastAsia" w:ascii="Times New Roman" w:hAnsi="Times New Roman" w:eastAsia="仿宋_GB2312"/>
          <w:bCs/>
          <w:color w:val="000000"/>
          <w:sz w:val="32"/>
          <w:szCs w:val="32"/>
        </w:rPr>
        <w:t>．</w:t>
      </w:r>
      <w:r>
        <w:rPr>
          <w:rFonts w:ascii="Times New Roman" w:hAnsi="仿宋_GB2312" w:eastAsia="仿宋_GB2312"/>
          <w:bCs/>
          <w:color w:val="000000"/>
          <w:sz w:val="32"/>
          <w:szCs w:val="32"/>
        </w:rPr>
        <w:t>湖南省</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人工智能</w:t>
      </w:r>
      <w:r>
        <w:rPr>
          <w:rFonts w:ascii="Times New Roman" w:hAnsi="Times New Roman" w:eastAsia="仿宋_GB2312"/>
          <w:bCs/>
          <w:color w:val="000000"/>
          <w:sz w:val="32"/>
          <w:szCs w:val="32"/>
        </w:rPr>
        <w:t>+</w:t>
      </w:r>
      <w:r>
        <w:rPr>
          <w:rFonts w:hint="eastAsia" w:ascii="仿宋_GB2312" w:hAnsi="Times New Roman" w:eastAsia="仿宋_GB2312"/>
          <w:bCs/>
          <w:color w:val="000000"/>
          <w:sz w:val="32"/>
          <w:szCs w:val="32"/>
        </w:rPr>
        <w:t>”</w:t>
      </w:r>
      <w:r>
        <w:rPr>
          <w:rFonts w:ascii="Times New Roman" w:hAnsi="仿宋_GB2312" w:eastAsia="仿宋_GB2312"/>
          <w:bCs/>
          <w:color w:val="000000"/>
          <w:sz w:val="32"/>
          <w:szCs w:val="32"/>
        </w:rPr>
        <w:t>十大支持措施</w:t>
      </w:r>
    </w:p>
    <w:p w14:paraId="34C25F20">
      <w:pPr>
        <w:adjustRightInd w:val="0"/>
        <w:snapToGrid w:val="0"/>
        <w:spacing w:line="600" w:lineRule="exact"/>
        <w:jc w:val="left"/>
        <w:outlineLvl w:val="1"/>
        <w:rPr>
          <w:rFonts w:ascii="Times New Roman" w:hAnsi="Times New Roman" w:eastAsia="黑体"/>
          <w:b/>
          <w:color w:val="000000"/>
          <w:sz w:val="32"/>
          <w:szCs w:val="32"/>
        </w:rPr>
      </w:pPr>
      <w:r>
        <w:rPr>
          <w:rFonts w:ascii="Times New Roman" w:hAnsi="Times New Roman" w:eastAsia="仿宋_GB2312"/>
          <w:b/>
          <w:color w:val="000000"/>
          <w:w w:val="98"/>
          <w:sz w:val="32"/>
          <w:szCs w:val="32"/>
        </w:rPr>
        <w:br w:type="page"/>
      </w:r>
      <w:r>
        <w:rPr>
          <w:rFonts w:ascii="Times New Roman" w:eastAsia="黑体"/>
          <w:bCs/>
          <w:color w:val="000000"/>
          <w:sz w:val="32"/>
          <w:szCs w:val="32"/>
        </w:rPr>
        <w:t>附件</w:t>
      </w:r>
      <w:r>
        <w:rPr>
          <w:rFonts w:ascii="Times New Roman" w:hAnsi="Times New Roman" w:eastAsia="黑体"/>
          <w:bCs/>
          <w:color w:val="000000"/>
          <w:sz w:val="32"/>
          <w:szCs w:val="32"/>
        </w:rPr>
        <w:t>1</w:t>
      </w:r>
    </w:p>
    <w:p w14:paraId="13E4657F">
      <w:pPr>
        <w:adjustRightInd w:val="0"/>
        <w:snapToGrid w:val="0"/>
        <w:spacing w:line="600" w:lineRule="exact"/>
        <w:jc w:val="left"/>
        <w:rPr>
          <w:rFonts w:ascii="Times New Roman" w:hAnsi="Times New Roman" w:eastAsia="黑体"/>
          <w:b/>
          <w:color w:val="000000"/>
          <w:sz w:val="32"/>
          <w:szCs w:val="32"/>
        </w:rPr>
      </w:pPr>
    </w:p>
    <w:p w14:paraId="6A1316A1">
      <w:pPr>
        <w:adjustRightInd w:val="0"/>
        <w:snapToGrid w:val="0"/>
        <w:spacing w:line="600" w:lineRule="exact"/>
        <w:jc w:val="center"/>
        <w:outlineLvl w:val="1"/>
        <w:rPr>
          <w:rFonts w:ascii="Times New Roman" w:hAnsi="Times New Roman" w:eastAsia="方正小标宋简体"/>
          <w:bCs/>
          <w:color w:val="000000"/>
          <w:kern w:val="0"/>
          <w:sz w:val="44"/>
          <w:szCs w:val="32"/>
        </w:rPr>
      </w:pPr>
      <w:r>
        <w:rPr>
          <w:rFonts w:ascii="Times New Roman" w:eastAsia="方正小标宋简体"/>
          <w:bCs/>
          <w:color w:val="000000"/>
          <w:kern w:val="0"/>
          <w:sz w:val="44"/>
          <w:szCs w:val="32"/>
        </w:rPr>
        <w:t>湖南省</w:t>
      </w:r>
      <w:r>
        <w:rPr>
          <w:rFonts w:hint="eastAsia" w:ascii="仿宋_GB2312" w:hAnsi="Times New Roman" w:eastAsia="仿宋_GB2312"/>
          <w:bCs/>
          <w:color w:val="000000"/>
          <w:kern w:val="0"/>
          <w:sz w:val="44"/>
          <w:szCs w:val="32"/>
        </w:rPr>
        <w:t>“</w:t>
      </w:r>
      <w:r>
        <w:rPr>
          <w:rFonts w:ascii="Times New Roman" w:eastAsia="方正小标宋简体"/>
          <w:bCs/>
          <w:color w:val="000000"/>
          <w:kern w:val="0"/>
          <w:sz w:val="44"/>
          <w:szCs w:val="32"/>
        </w:rPr>
        <w:t>人工智能</w:t>
      </w:r>
      <w:r>
        <w:rPr>
          <w:rFonts w:ascii="Times New Roman" w:hAnsi="Times New Roman" w:eastAsia="方正小标宋简体"/>
          <w:bCs/>
          <w:color w:val="000000"/>
          <w:kern w:val="0"/>
          <w:sz w:val="44"/>
          <w:szCs w:val="32"/>
        </w:rPr>
        <w:t>+</w:t>
      </w:r>
      <w:r>
        <w:rPr>
          <w:rFonts w:hint="eastAsia" w:ascii="仿宋_GB2312" w:hAnsi="Times New Roman" w:eastAsia="仿宋_GB2312"/>
          <w:bCs/>
          <w:color w:val="000000"/>
          <w:kern w:val="0"/>
          <w:sz w:val="44"/>
          <w:szCs w:val="32"/>
        </w:rPr>
        <w:t>”</w:t>
      </w:r>
      <w:r>
        <w:rPr>
          <w:rFonts w:ascii="Times New Roman" w:eastAsia="方正小标宋简体"/>
          <w:bCs/>
          <w:color w:val="000000"/>
          <w:kern w:val="0"/>
          <w:sz w:val="44"/>
          <w:szCs w:val="32"/>
        </w:rPr>
        <w:t>十大重点企业</w:t>
      </w:r>
    </w:p>
    <w:p w14:paraId="6FDB04FA">
      <w:pPr>
        <w:adjustRightInd w:val="0"/>
        <w:snapToGrid w:val="0"/>
        <w:spacing w:line="600" w:lineRule="exact"/>
        <w:jc w:val="left"/>
        <w:rPr>
          <w:rFonts w:ascii="Times New Roman" w:hAnsi="Times New Roman" w:eastAsia="仿宋_GB2312"/>
          <w:b/>
          <w:color w:val="000000"/>
          <w:sz w:val="32"/>
          <w:szCs w:val="32"/>
        </w:rPr>
      </w:pPr>
    </w:p>
    <w:p w14:paraId="3F83F22B">
      <w:pPr>
        <w:pStyle w:val="28"/>
        <w:adjustRightInd w:val="0"/>
        <w:snapToGrid w:val="0"/>
        <w:spacing w:line="600" w:lineRule="exact"/>
        <w:ind w:firstLine="640"/>
        <w:rPr>
          <w:rFonts w:eastAsia="黑体"/>
          <w:bCs/>
          <w:color w:val="000000"/>
          <w:szCs w:val="32"/>
        </w:rPr>
      </w:pPr>
      <w:r>
        <w:rPr>
          <w:rFonts w:eastAsia="黑体"/>
          <w:bCs/>
          <w:color w:val="000000"/>
          <w:szCs w:val="32"/>
        </w:rPr>
        <w:t>一、基础层企业（3家）</w:t>
      </w:r>
    </w:p>
    <w:p w14:paraId="4EB828E4">
      <w:pPr>
        <w:pStyle w:val="28"/>
        <w:adjustRightInd w:val="0"/>
        <w:snapToGrid w:val="0"/>
        <w:spacing w:line="600" w:lineRule="exact"/>
        <w:ind w:firstLine="640"/>
        <w:rPr>
          <w:rFonts w:eastAsia="仿宋_GB2312"/>
          <w:bCs/>
          <w:color w:val="000000"/>
          <w:szCs w:val="32"/>
        </w:rPr>
      </w:pPr>
      <w:r>
        <w:rPr>
          <w:rFonts w:eastAsia="仿宋_GB2312"/>
          <w:bCs/>
          <w:color w:val="000000"/>
          <w:szCs w:val="32"/>
        </w:rPr>
        <w:t>1</w:t>
      </w:r>
      <w:r>
        <w:rPr>
          <w:rFonts w:hint="eastAsia" w:eastAsia="仿宋_GB2312"/>
          <w:bCs/>
          <w:color w:val="000000"/>
          <w:szCs w:val="32"/>
        </w:rPr>
        <w:t>．</w:t>
      </w:r>
      <w:r>
        <w:rPr>
          <w:rFonts w:eastAsia="仿宋_GB2312"/>
          <w:bCs/>
          <w:color w:val="000000"/>
          <w:szCs w:val="32"/>
        </w:rPr>
        <w:t>长沙景嘉微电子股份有限公司（算力芯片）</w:t>
      </w:r>
    </w:p>
    <w:p w14:paraId="070C71D1">
      <w:pPr>
        <w:pStyle w:val="28"/>
        <w:adjustRightInd w:val="0"/>
        <w:snapToGrid w:val="0"/>
        <w:spacing w:line="600" w:lineRule="exact"/>
        <w:ind w:firstLine="640"/>
        <w:rPr>
          <w:rFonts w:eastAsia="仿宋_GB2312"/>
          <w:bCs/>
          <w:color w:val="000000"/>
          <w:szCs w:val="32"/>
        </w:rPr>
      </w:pPr>
      <w:r>
        <w:rPr>
          <w:rFonts w:eastAsia="仿宋_GB2312"/>
          <w:bCs/>
          <w:color w:val="000000"/>
          <w:szCs w:val="32"/>
        </w:rPr>
        <w:t>2</w:t>
      </w:r>
      <w:r>
        <w:rPr>
          <w:rFonts w:hint="eastAsia" w:eastAsia="仿宋_GB2312"/>
          <w:bCs/>
          <w:color w:val="000000"/>
          <w:szCs w:val="32"/>
        </w:rPr>
        <w:t>．</w:t>
      </w:r>
      <w:r>
        <w:rPr>
          <w:rFonts w:eastAsia="仿宋_GB2312"/>
          <w:bCs/>
          <w:color w:val="000000"/>
          <w:szCs w:val="32"/>
        </w:rPr>
        <w:t>湖南国科微电子股份有限公司（边缘计算芯片）</w:t>
      </w:r>
    </w:p>
    <w:p w14:paraId="5B70B4F0">
      <w:pPr>
        <w:pStyle w:val="28"/>
        <w:adjustRightInd w:val="0"/>
        <w:snapToGrid w:val="0"/>
        <w:spacing w:line="600" w:lineRule="exact"/>
        <w:ind w:firstLine="640"/>
        <w:rPr>
          <w:rFonts w:eastAsia="仿宋_GB2312"/>
          <w:bCs/>
          <w:color w:val="000000"/>
          <w:szCs w:val="32"/>
        </w:rPr>
      </w:pPr>
      <w:r>
        <w:rPr>
          <w:rFonts w:eastAsia="仿宋_GB2312"/>
          <w:bCs/>
          <w:color w:val="000000"/>
          <w:szCs w:val="32"/>
        </w:rPr>
        <w:t>3</w:t>
      </w:r>
      <w:r>
        <w:rPr>
          <w:rFonts w:hint="eastAsia" w:eastAsia="仿宋_GB2312"/>
          <w:bCs/>
          <w:color w:val="000000"/>
          <w:szCs w:val="32"/>
        </w:rPr>
        <w:t>．</w:t>
      </w:r>
      <w:r>
        <w:rPr>
          <w:rFonts w:eastAsia="仿宋_GB2312"/>
          <w:bCs/>
          <w:color w:val="000000"/>
          <w:szCs w:val="32"/>
        </w:rPr>
        <w:t>威胜信息技术股份有限公司（智能衡器计量）</w:t>
      </w:r>
    </w:p>
    <w:p w14:paraId="23FBA0C1">
      <w:pPr>
        <w:pStyle w:val="28"/>
        <w:adjustRightInd w:val="0"/>
        <w:snapToGrid w:val="0"/>
        <w:spacing w:line="600" w:lineRule="exact"/>
        <w:ind w:firstLine="640"/>
        <w:rPr>
          <w:rFonts w:eastAsia="黑体"/>
          <w:bCs/>
          <w:color w:val="000000"/>
          <w:szCs w:val="32"/>
        </w:rPr>
      </w:pPr>
      <w:r>
        <w:rPr>
          <w:rFonts w:eastAsia="黑体"/>
          <w:bCs/>
          <w:color w:val="000000"/>
          <w:szCs w:val="32"/>
        </w:rPr>
        <w:t>二、技术层企业（3家）</w:t>
      </w:r>
    </w:p>
    <w:p w14:paraId="52E7A8C7">
      <w:pPr>
        <w:pStyle w:val="28"/>
        <w:adjustRightInd w:val="0"/>
        <w:snapToGrid w:val="0"/>
        <w:spacing w:line="600" w:lineRule="exact"/>
        <w:ind w:firstLine="640"/>
        <w:rPr>
          <w:rFonts w:eastAsia="仿宋_GB2312"/>
          <w:bCs/>
          <w:color w:val="000000"/>
          <w:szCs w:val="32"/>
        </w:rPr>
      </w:pPr>
      <w:r>
        <w:rPr>
          <w:rFonts w:eastAsia="仿宋_GB2312"/>
          <w:bCs/>
          <w:color w:val="000000"/>
          <w:szCs w:val="32"/>
        </w:rPr>
        <w:t>4</w:t>
      </w:r>
      <w:r>
        <w:rPr>
          <w:rFonts w:hint="eastAsia" w:eastAsia="仿宋_GB2312"/>
          <w:bCs/>
          <w:color w:val="000000"/>
          <w:szCs w:val="32"/>
        </w:rPr>
        <w:t>．</w:t>
      </w:r>
      <w:r>
        <w:rPr>
          <w:rFonts w:eastAsia="仿宋_GB2312"/>
          <w:bCs/>
          <w:color w:val="000000"/>
          <w:szCs w:val="32"/>
        </w:rPr>
        <w:t>万兴科技（湖南）有限公司（高质量数据集）</w:t>
      </w:r>
    </w:p>
    <w:p w14:paraId="36B122E0">
      <w:pPr>
        <w:pStyle w:val="28"/>
        <w:adjustRightInd w:val="0"/>
        <w:snapToGrid w:val="0"/>
        <w:spacing w:line="600" w:lineRule="exact"/>
        <w:ind w:firstLine="640"/>
        <w:rPr>
          <w:rFonts w:eastAsia="仿宋_GB2312"/>
          <w:bCs/>
          <w:color w:val="000000"/>
          <w:szCs w:val="32"/>
        </w:rPr>
      </w:pPr>
      <w:r>
        <w:rPr>
          <w:rFonts w:eastAsia="仿宋_GB2312"/>
          <w:bCs/>
          <w:color w:val="000000"/>
          <w:szCs w:val="32"/>
        </w:rPr>
        <w:t>5</w:t>
      </w:r>
      <w:r>
        <w:rPr>
          <w:rFonts w:hint="eastAsia" w:eastAsia="仿宋_GB2312"/>
          <w:bCs/>
          <w:color w:val="000000"/>
          <w:szCs w:val="32"/>
        </w:rPr>
        <w:t>．</w:t>
      </w:r>
      <w:r>
        <w:rPr>
          <w:rFonts w:eastAsia="仿宋_GB2312"/>
          <w:bCs/>
          <w:color w:val="000000"/>
          <w:szCs w:val="32"/>
        </w:rPr>
        <w:t>智慧眼科技股份有限公司（医疗大模型）</w:t>
      </w:r>
    </w:p>
    <w:p w14:paraId="5DDB4FAA">
      <w:pPr>
        <w:pStyle w:val="28"/>
        <w:adjustRightInd w:val="0"/>
        <w:snapToGrid w:val="0"/>
        <w:spacing w:line="600" w:lineRule="exact"/>
        <w:ind w:firstLine="640"/>
        <w:rPr>
          <w:rFonts w:eastAsia="仿宋_GB2312"/>
          <w:bCs/>
          <w:color w:val="000000"/>
          <w:szCs w:val="32"/>
        </w:rPr>
      </w:pPr>
      <w:r>
        <w:rPr>
          <w:rFonts w:eastAsia="仿宋_GB2312"/>
          <w:bCs/>
          <w:color w:val="000000"/>
          <w:szCs w:val="32"/>
        </w:rPr>
        <w:t>6</w:t>
      </w:r>
      <w:r>
        <w:rPr>
          <w:rFonts w:hint="eastAsia" w:eastAsia="仿宋_GB2312"/>
          <w:bCs/>
          <w:color w:val="000000"/>
          <w:szCs w:val="32"/>
        </w:rPr>
        <w:t>．</w:t>
      </w:r>
      <w:r>
        <w:rPr>
          <w:rFonts w:eastAsia="仿宋_GB2312"/>
          <w:bCs/>
          <w:color w:val="000000"/>
          <w:szCs w:val="32"/>
        </w:rPr>
        <w:t>中科云谷科技有限公司（具身智能）</w:t>
      </w:r>
    </w:p>
    <w:p w14:paraId="1E9B1206">
      <w:pPr>
        <w:pStyle w:val="28"/>
        <w:adjustRightInd w:val="0"/>
        <w:snapToGrid w:val="0"/>
        <w:spacing w:line="600" w:lineRule="exact"/>
        <w:ind w:firstLine="640"/>
        <w:rPr>
          <w:rFonts w:eastAsia="黑体"/>
          <w:bCs/>
          <w:color w:val="000000"/>
          <w:szCs w:val="32"/>
        </w:rPr>
      </w:pPr>
      <w:r>
        <w:rPr>
          <w:rFonts w:eastAsia="黑体"/>
          <w:bCs/>
          <w:color w:val="000000"/>
          <w:szCs w:val="32"/>
        </w:rPr>
        <w:t>三、应用层企业（4家）</w:t>
      </w:r>
    </w:p>
    <w:p w14:paraId="54FA7742">
      <w:pPr>
        <w:pStyle w:val="28"/>
        <w:adjustRightInd w:val="0"/>
        <w:snapToGrid w:val="0"/>
        <w:spacing w:line="600" w:lineRule="exact"/>
        <w:ind w:firstLine="640"/>
        <w:rPr>
          <w:rFonts w:eastAsia="仿宋_GB2312"/>
          <w:bCs/>
          <w:color w:val="000000"/>
          <w:szCs w:val="32"/>
        </w:rPr>
      </w:pPr>
      <w:r>
        <w:rPr>
          <w:rFonts w:eastAsia="仿宋_GB2312"/>
          <w:bCs/>
          <w:color w:val="000000"/>
          <w:szCs w:val="32"/>
        </w:rPr>
        <w:t>7</w:t>
      </w:r>
      <w:r>
        <w:rPr>
          <w:rFonts w:hint="eastAsia" w:eastAsia="仿宋_GB2312"/>
          <w:bCs/>
          <w:color w:val="000000"/>
          <w:szCs w:val="32"/>
        </w:rPr>
        <w:t>．</w:t>
      </w:r>
      <w:r>
        <w:rPr>
          <w:rFonts w:eastAsia="仿宋_GB2312"/>
          <w:bCs/>
          <w:color w:val="000000"/>
          <w:szCs w:val="32"/>
        </w:rPr>
        <w:t>希迪智驾科技股份有限公司（智能网联汽车）</w:t>
      </w:r>
    </w:p>
    <w:p w14:paraId="33517FDA">
      <w:pPr>
        <w:pStyle w:val="28"/>
        <w:adjustRightInd w:val="0"/>
        <w:snapToGrid w:val="0"/>
        <w:spacing w:line="600" w:lineRule="exact"/>
        <w:ind w:firstLine="640"/>
        <w:rPr>
          <w:rFonts w:eastAsia="仿宋_GB2312"/>
          <w:bCs/>
          <w:color w:val="000000"/>
          <w:szCs w:val="32"/>
        </w:rPr>
      </w:pPr>
      <w:r>
        <w:rPr>
          <w:rFonts w:eastAsia="仿宋_GB2312"/>
          <w:bCs/>
          <w:color w:val="000000"/>
          <w:szCs w:val="32"/>
        </w:rPr>
        <w:t>8</w:t>
      </w:r>
      <w:r>
        <w:rPr>
          <w:rFonts w:hint="eastAsia" w:eastAsia="仿宋_GB2312"/>
          <w:bCs/>
          <w:color w:val="000000"/>
          <w:szCs w:val="32"/>
        </w:rPr>
        <w:t>．</w:t>
      </w:r>
      <w:r>
        <w:rPr>
          <w:rFonts w:eastAsia="仿宋_GB2312"/>
          <w:bCs/>
          <w:color w:val="000000"/>
          <w:szCs w:val="32"/>
        </w:rPr>
        <w:t>湖南快乐阳光互动娱乐传媒有限公司（文化创意）</w:t>
      </w:r>
    </w:p>
    <w:p w14:paraId="03749C46">
      <w:pPr>
        <w:pStyle w:val="28"/>
        <w:adjustRightInd w:val="0"/>
        <w:snapToGrid w:val="0"/>
        <w:spacing w:line="600" w:lineRule="exact"/>
        <w:ind w:firstLine="640"/>
        <w:rPr>
          <w:rFonts w:eastAsia="仿宋_GB2312"/>
          <w:bCs/>
          <w:color w:val="000000"/>
          <w:szCs w:val="32"/>
        </w:rPr>
      </w:pPr>
      <w:r>
        <w:rPr>
          <w:rFonts w:eastAsia="仿宋_GB2312"/>
          <w:bCs/>
          <w:color w:val="000000"/>
          <w:szCs w:val="32"/>
        </w:rPr>
        <w:t>9</w:t>
      </w:r>
      <w:r>
        <w:rPr>
          <w:rFonts w:hint="eastAsia" w:eastAsia="仿宋_GB2312"/>
          <w:bCs/>
          <w:color w:val="000000"/>
          <w:szCs w:val="32"/>
        </w:rPr>
        <w:t>．</w:t>
      </w:r>
      <w:r>
        <w:rPr>
          <w:rFonts w:eastAsia="仿宋_GB2312"/>
          <w:bCs/>
          <w:color w:val="000000"/>
          <w:szCs w:val="32"/>
        </w:rPr>
        <w:t>安克创新科技股份有限公司（消费电子）</w:t>
      </w:r>
    </w:p>
    <w:p w14:paraId="3BE23AC3">
      <w:pPr>
        <w:pStyle w:val="28"/>
        <w:adjustRightInd w:val="0"/>
        <w:snapToGrid w:val="0"/>
        <w:spacing w:line="600" w:lineRule="exact"/>
        <w:ind w:firstLine="640"/>
        <w:rPr>
          <w:rFonts w:eastAsia="仿宋_GB2312"/>
          <w:bCs/>
          <w:color w:val="000000"/>
          <w:szCs w:val="32"/>
        </w:rPr>
      </w:pPr>
      <w:r>
        <w:rPr>
          <w:rFonts w:eastAsia="仿宋_GB2312"/>
          <w:bCs/>
          <w:color w:val="000000"/>
          <w:szCs w:val="32"/>
        </w:rPr>
        <w:t>10</w:t>
      </w:r>
      <w:r>
        <w:rPr>
          <w:rFonts w:hint="eastAsia" w:eastAsia="仿宋_GB2312"/>
          <w:bCs/>
          <w:color w:val="000000"/>
          <w:szCs w:val="32"/>
        </w:rPr>
        <w:t>．</w:t>
      </w:r>
      <w:r>
        <w:rPr>
          <w:rFonts w:eastAsia="仿宋_GB2312"/>
          <w:bCs/>
          <w:color w:val="000000"/>
          <w:szCs w:val="32"/>
        </w:rPr>
        <w:t>蓝思科技股份有限公司（智能部件）</w:t>
      </w:r>
    </w:p>
    <w:p w14:paraId="08663C4E">
      <w:pPr>
        <w:pStyle w:val="28"/>
        <w:adjustRightInd w:val="0"/>
        <w:snapToGrid w:val="0"/>
        <w:spacing w:line="600" w:lineRule="exact"/>
        <w:ind w:firstLine="640"/>
        <w:rPr>
          <w:rFonts w:eastAsia="黑体"/>
          <w:bCs/>
          <w:color w:val="000000"/>
          <w:szCs w:val="32"/>
        </w:rPr>
      </w:pPr>
      <w:r>
        <w:rPr>
          <w:rFonts w:eastAsia="黑体"/>
          <w:bCs/>
          <w:color w:val="000000"/>
          <w:szCs w:val="32"/>
        </w:rPr>
        <w:t>四、重点培养型企业（10家）</w:t>
      </w:r>
    </w:p>
    <w:p w14:paraId="55E7F697">
      <w:pPr>
        <w:pStyle w:val="28"/>
        <w:adjustRightInd w:val="0"/>
        <w:snapToGrid w:val="0"/>
        <w:spacing w:line="600" w:lineRule="exact"/>
        <w:ind w:firstLine="640"/>
        <w:rPr>
          <w:rFonts w:eastAsia="仿宋_GB2312"/>
          <w:bCs/>
          <w:color w:val="000000"/>
          <w:szCs w:val="32"/>
        </w:rPr>
      </w:pPr>
      <w:r>
        <w:rPr>
          <w:rFonts w:eastAsia="仿宋_GB2312"/>
          <w:bCs/>
          <w:color w:val="000000"/>
          <w:szCs w:val="32"/>
        </w:rPr>
        <w:t>1</w:t>
      </w:r>
      <w:r>
        <w:rPr>
          <w:rFonts w:hint="eastAsia" w:eastAsia="仿宋_GB2312"/>
          <w:bCs/>
          <w:color w:val="000000"/>
          <w:szCs w:val="32"/>
        </w:rPr>
        <w:t>．</w:t>
      </w:r>
      <w:r>
        <w:rPr>
          <w:rFonts w:eastAsia="仿宋_GB2312"/>
          <w:bCs/>
          <w:color w:val="000000"/>
          <w:szCs w:val="32"/>
        </w:rPr>
        <w:t>湖南视比特机器人有限公司（机器视觉）</w:t>
      </w:r>
    </w:p>
    <w:p w14:paraId="11A2B5C4">
      <w:pPr>
        <w:pStyle w:val="28"/>
        <w:spacing w:line="600" w:lineRule="exact"/>
        <w:ind w:firstLine="640"/>
        <w:rPr>
          <w:rFonts w:eastAsia="仿宋_GB2312"/>
          <w:bCs/>
          <w:color w:val="000000"/>
          <w:szCs w:val="32"/>
        </w:rPr>
      </w:pPr>
      <w:r>
        <w:rPr>
          <w:rFonts w:eastAsia="仿宋_GB2312"/>
          <w:bCs/>
          <w:color w:val="000000"/>
          <w:szCs w:val="32"/>
        </w:rPr>
        <w:t>2</w:t>
      </w:r>
      <w:r>
        <w:rPr>
          <w:rFonts w:hint="eastAsia" w:eastAsia="仿宋_GB2312"/>
          <w:bCs/>
          <w:color w:val="000000"/>
          <w:szCs w:val="32"/>
        </w:rPr>
        <w:t>．</w:t>
      </w:r>
      <w:r>
        <w:rPr>
          <w:rFonts w:eastAsia="仿宋_GB2312"/>
          <w:bCs/>
          <w:color w:val="000000"/>
          <w:szCs w:val="32"/>
        </w:rPr>
        <w:t>湖南超能机器人技术有限公司（智能机器人）</w:t>
      </w:r>
    </w:p>
    <w:p w14:paraId="7EC8E272">
      <w:pPr>
        <w:pStyle w:val="28"/>
        <w:spacing w:line="600" w:lineRule="exact"/>
        <w:ind w:firstLine="640"/>
        <w:rPr>
          <w:rFonts w:eastAsia="仿宋_GB2312"/>
          <w:bCs/>
          <w:color w:val="000000"/>
          <w:szCs w:val="32"/>
        </w:rPr>
      </w:pPr>
      <w:r>
        <w:rPr>
          <w:rFonts w:eastAsia="仿宋_GB2312"/>
          <w:bCs/>
          <w:color w:val="000000"/>
          <w:szCs w:val="32"/>
        </w:rPr>
        <w:t>3</w:t>
      </w:r>
      <w:r>
        <w:rPr>
          <w:rFonts w:hint="eastAsia" w:eastAsia="仿宋_GB2312"/>
          <w:bCs/>
          <w:color w:val="000000"/>
          <w:szCs w:val="32"/>
        </w:rPr>
        <w:t>．</w:t>
      </w:r>
      <w:r>
        <w:rPr>
          <w:rFonts w:eastAsia="仿宋_GB2312"/>
          <w:bCs/>
          <w:color w:val="000000"/>
          <w:szCs w:val="32"/>
        </w:rPr>
        <w:t>湖南汇视威智能科技有限公司（智能视觉）</w:t>
      </w:r>
    </w:p>
    <w:p w14:paraId="1EB4E561">
      <w:pPr>
        <w:pStyle w:val="28"/>
        <w:spacing w:line="600" w:lineRule="exact"/>
        <w:ind w:firstLine="640"/>
        <w:rPr>
          <w:rFonts w:eastAsia="仿宋_GB2312"/>
          <w:bCs/>
          <w:color w:val="000000"/>
          <w:szCs w:val="32"/>
        </w:rPr>
      </w:pPr>
      <w:r>
        <w:rPr>
          <w:rFonts w:eastAsia="仿宋_GB2312"/>
          <w:bCs/>
          <w:color w:val="000000"/>
          <w:szCs w:val="32"/>
        </w:rPr>
        <w:t>4</w:t>
      </w:r>
      <w:r>
        <w:rPr>
          <w:rFonts w:hint="eastAsia" w:eastAsia="仿宋_GB2312"/>
          <w:bCs/>
          <w:color w:val="000000"/>
          <w:szCs w:val="32"/>
        </w:rPr>
        <w:t>．</w:t>
      </w:r>
      <w:r>
        <w:rPr>
          <w:rFonts w:eastAsia="仿宋_GB2312"/>
          <w:bCs/>
          <w:color w:val="000000"/>
          <w:szCs w:val="32"/>
        </w:rPr>
        <w:t>湖南润泽数智人科技有限公司（人形机器人）</w:t>
      </w:r>
    </w:p>
    <w:p w14:paraId="6B4DAF74">
      <w:pPr>
        <w:pStyle w:val="28"/>
        <w:spacing w:line="600" w:lineRule="exact"/>
        <w:ind w:firstLine="640"/>
        <w:rPr>
          <w:rFonts w:eastAsia="仿宋_GB2312"/>
          <w:bCs/>
          <w:color w:val="000000"/>
          <w:szCs w:val="32"/>
        </w:rPr>
      </w:pPr>
      <w:r>
        <w:rPr>
          <w:rFonts w:eastAsia="仿宋_GB2312"/>
          <w:bCs/>
          <w:color w:val="000000"/>
          <w:szCs w:val="32"/>
        </w:rPr>
        <w:t>5</w:t>
      </w:r>
      <w:r>
        <w:rPr>
          <w:rFonts w:hint="eastAsia" w:eastAsia="仿宋_GB2312"/>
          <w:bCs/>
          <w:color w:val="000000"/>
          <w:szCs w:val="32"/>
        </w:rPr>
        <w:t>．</w:t>
      </w:r>
      <w:r>
        <w:rPr>
          <w:rFonts w:eastAsia="仿宋_GB2312"/>
          <w:bCs/>
          <w:color w:val="000000"/>
          <w:szCs w:val="32"/>
        </w:rPr>
        <w:t>湖南智启未来科技有限公司（具身智能）</w:t>
      </w:r>
    </w:p>
    <w:p w14:paraId="446E2D67">
      <w:pPr>
        <w:pStyle w:val="28"/>
        <w:adjustRightInd w:val="0"/>
        <w:snapToGrid w:val="0"/>
        <w:spacing w:line="600" w:lineRule="exact"/>
        <w:ind w:firstLine="640"/>
        <w:rPr>
          <w:rFonts w:eastAsia="仿宋_GB2312"/>
          <w:bCs/>
          <w:color w:val="000000"/>
          <w:szCs w:val="32"/>
        </w:rPr>
      </w:pPr>
      <w:r>
        <w:rPr>
          <w:rFonts w:eastAsia="仿宋_GB2312"/>
          <w:bCs/>
          <w:color w:val="000000"/>
          <w:szCs w:val="32"/>
        </w:rPr>
        <w:t>6</w:t>
      </w:r>
      <w:r>
        <w:rPr>
          <w:rFonts w:hint="eastAsia" w:eastAsia="仿宋_GB2312"/>
          <w:bCs/>
          <w:color w:val="000000"/>
          <w:szCs w:val="32"/>
        </w:rPr>
        <w:t>．</w:t>
      </w:r>
      <w:r>
        <w:rPr>
          <w:rFonts w:eastAsia="仿宋_GB2312"/>
          <w:bCs/>
          <w:color w:val="000000"/>
          <w:szCs w:val="32"/>
        </w:rPr>
        <w:t>拓维信息系统股份有限公司（国产软硬件应用）</w:t>
      </w:r>
    </w:p>
    <w:p w14:paraId="3298C24F">
      <w:pPr>
        <w:pStyle w:val="28"/>
        <w:spacing w:line="600" w:lineRule="exact"/>
        <w:ind w:firstLine="640"/>
        <w:rPr>
          <w:rFonts w:eastAsia="仿宋_GB2312"/>
          <w:bCs/>
          <w:color w:val="000000"/>
          <w:szCs w:val="32"/>
        </w:rPr>
      </w:pPr>
      <w:r>
        <w:rPr>
          <w:rFonts w:eastAsia="仿宋_GB2312"/>
          <w:bCs/>
          <w:color w:val="000000"/>
          <w:szCs w:val="32"/>
        </w:rPr>
        <w:t>7</w:t>
      </w:r>
      <w:r>
        <w:rPr>
          <w:rFonts w:hint="eastAsia" w:eastAsia="仿宋_GB2312"/>
          <w:bCs/>
          <w:color w:val="000000"/>
          <w:szCs w:val="32"/>
        </w:rPr>
        <w:t>．</w:t>
      </w:r>
      <w:r>
        <w:rPr>
          <w:rFonts w:eastAsia="仿宋_GB2312"/>
          <w:bCs/>
          <w:color w:val="000000"/>
          <w:szCs w:val="32"/>
        </w:rPr>
        <w:t>湖南苏科智能科技有限公司（智能安检）</w:t>
      </w:r>
    </w:p>
    <w:p w14:paraId="58CA2DD8">
      <w:pPr>
        <w:pStyle w:val="28"/>
        <w:spacing w:line="600" w:lineRule="exact"/>
        <w:ind w:firstLine="640"/>
        <w:rPr>
          <w:rFonts w:eastAsia="仿宋_GB2312"/>
          <w:bCs/>
          <w:color w:val="000000"/>
          <w:szCs w:val="32"/>
        </w:rPr>
      </w:pPr>
      <w:r>
        <w:rPr>
          <w:rFonts w:eastAsia="仿宋_GB2312"/>
          <w:bCs/>
          <w:color w:val="000000"/>
          <w:szCs w:val="32"/>
        </w:rPr>
        <w:t>8</w:t>
      </w:r>
      <w:r>
        <w:rPr>
          <w:rFonts w:hint="eastAsia" w:eastAsia="仿宋_GB2312"/>
          <w:bCs/>
          <w:color w:val="000000"/>
          <w:szCs w:val="32"/>
        </w:rPr>
        <w:t>．</w:t>
      </w:r>
      <w:r>
        <w:rPr>
          <w:rFonts w:eastAsia="仿宋_GB2312"/>
          <w:bCs/>
          <w:color w:val="000000"/>
          <w:szCs w:val="32"/>
        </w:rPr>
        <w:t>湖南中南智能装备有限公司（工业机器人）</w:t>
      </w:r>
    </w:p>
    <w:p w14:paraId="54F53A53">
      <w:pPr>
        <w:pStyle w:val="28"/>
        <w:spacing w:line="600" w:lineRule="exact"/>
        <w:ind w:firstLine="640"/>
        <w:rPr>
          <w:rFonts w:eastAsia="仿宋_GB2312"/>
          <w:bCs/>
          <w:color w:val="000000"/>
          <w:szCs w:val="32"/>
        </w:rPr>
      </w:pPr>
      <w:r>
        <w:rPr>
          <w:rFonts w:eastAsia="仿宋_GB2312"/>
          <w:bCs/>
          <w:color w:val="000000"/>
          <w:szCs w:val="32"/>
        </w:rPr>
        <w:t>9</w:t>
      </w:r>
      <w:r>
        <w:rPr>
          <w:rFonts w:hint="eastAsia" w:eastAsia="仿宋_GB2312"/>
          <w:bCs/>
          <w:color w:val="000000"/>
          <w:szCs w:val="32"/>
        </w:rPr>
        <w:t>．</w:t>
      </w:r>
      <w:r>
        <w:rPr>
          <w:rFonts w:eastAsia="仿宋_GB2312"/>
          <w:bCs/>
          <w:color w:val="000000"/>
          <w:szCs w:val="32"/>
        </w:rPr>
        <w:t>长沙行深智能科技有限公司（智慧物流）</w:t>
      </w:r>
    </w:p>
    <w:p w14:paraId="1F3685CB">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10</w:t>
      </w:r>
      <w:r>
        <w:rPr>
          <w:rFonts w:hint="eastAsia" w:eastAsia="仿宋_GB2312"/>
          <w:bCs/>
          <w:color w:val="000000"/>
          <w:szCs w:val="32"/>
        </w:rPr>
        <w:t>．</w:t>
      </w:r>
      <w:r>
        <w:rPr>
          <w:rFonts w:ascii="Times New Roman" w:eastAsia="仿宋_GB2312"/>
          <w:bCs/>
          <w:color w:val="000000"/>
          <w:sz w:val="32"/>
          <w:szCs w:val="32"/>
        </w:rPr>
        <w:t>湖南自兴人工智能科技集团有限公司（智慧医疗）</w:t>
      </w:r>
      <w:r>
        <w:rPr>
          <w:rFonts w:ascii="Times New Roman" w:hAnsi="Times New Roman" w:eastAsia="仿宋_GB2312"/>
          <w:b/>
          <w:color w:val="000000"/>
          <w:sz w:val="32"/>
          <w:szCs w:val="32"/>
        </w:rPr>
        <w:br w:type="page"/>
      </w:r>
      <w:r>
        <w:rPr>
          <w:rFonts w:ascii="Times New Roman" w:eastAsia="黑体"/>
          <w:bCs/>
          <w:color w:val="000000"/>
          <w:sz w:val="32"/>
          <w:szCs w:val="32"/>
        </w:rPr>
        <w:t>附件</w:t>
      </w:r>
      <w:r>
        <w:rPr>
          <w:rFonts w:ascii="Times New Roman" w:hAnsi="Times New Roman" w:eastAsia="仿宋_GB2312"/>
          <w:bCs/>
          <w:color w:val="000000"/>
          <w:sz w:val="32"/>
          <w:szCs w:val="32"/>
        </w:rPr>
        <w:t>2</w:t>
      </w:r>
    </w:p>
    <w:p w14:paraId="49BE14ED">
      <w:pPr>
        <w:adjustRightInd w:val="0"/>
        <w:snapToGrid w:val="0"/>
        <w:spacing w:line="600" w:lineRule="exact"/>
        <w:jc w:val="left"/>
        <w:rPr>
          <w:rFonts w:ascii="Times New Roman" w:hAnsi="Times New Roman" w:eastAsia="仿宋_GB2312"/>
          <w:bCs/>
          <w:color w:val="000000"/>
          <w:sz w:val="32"/>
          <w:szCs w:val="32"/>
        </w:rPr>
      </w:pPr>
    </w:p>
    <w:p w14:paraId="120FE254">
      <w:pPr>
        <w:adjustRightInd w:val="0"/>
        <w:snapToGrid w:val="0"/>
        <w:spacing w:line="600" w:lineRule="exact"/>
        <w:jc w:val="center"/>
        <w:outlineLvl w:val="1"/>
        <w:rPr>
          <w:rFonts w:ascii="Times New Roman" w:hAnsi="Times New Roman" w:eastAsia="方正小标宋简体"/>
          <w:bCs/>
          <w:color w:val="000000"/>
          <w:kern w:val="0"/>
          <w:sz w:val="44"/>
          <w:szCs w:val="32"/>
        </w:rPr>
      </w:pPr>
      <w:r>
        <w:rPr>
          <w:rFonts w:ascii="Times New Roman" w:eastAsia="方正小标宋简体"/>
          <w:bCs/>
          <w:color w:val="000000"/>
          <w:kern w:val="0"/>
          <w:sz w:val="44"/>
          <w:szCs w:val="32"/>
        </w:rPr>
        <w:t>湖南省</w:t>
      </w:r>
      <w:r>
        <w:rPr>
          <w:rFonts w:hint="eastAsia" w:ascii="仿宋_GB2312" w:hAnsi="Times New Roman" w:eastAsia="仿宋_GB2312"/>
          <w:bCs/>
          <w:color w:val="000000"/>
          <w:kern w:val="0"/>
          <w:sz w:val="44"/>
          <w:szCs w:val="32"/>
        </w:rPr>
        <w:t>“</w:t>
      </w:r>
      <w:r>
        <w:rPr>
          <w:rFonts w:ascii="Times New Roman" w:eastAsia="方正小标宋简体"/>
          <w:bCs/>
          <w:color w:val="000000"/>
          <w:kern w:val="0"/>
          <w:sz w:val="44"/>
          <w:szCs w:val="32"/>
        </w:rPr>
        <w:t>人工智能</w:t>
      </w:r>
      <w:r>
        <w:rPr>
          <w:rFonts w:ascii="Times New Roman" w:hAnsi="Times New Roman" w:eastAsia="方正小标宋简体"/>
          <w:bCs/>
          <w:color w:val="000000"/>
          <w:kern w:val="0"/>
          <w:sz w:val="44"/>
          <w:szCs w:val="32"/>
        </w:rPr>
        <w:t>+</w:t>
      </w:r>
      <w:r>
        <w:rPr>
          <w:rFonts w:hint="eastAsia" w:ascii="仿宋_GB2312" w:hAnsi="Times New Roman" w:eastAsia="仿宋_GB2312"/>
          <w:bCs/>
          <w:color w:val="000000"/>
          <w:kern w:val="0"/>
          <w:sz w:val="44"/>
          <w:szCs w:val="32"/>
        </w:rPr>
        <w:t>”</w:t>
      </w:r>
      <w:r>
        <w:rPr>
          <w:rFonts w:ascii="Times New Roman" w:eastAsia="方正小标宋简体"/>
          <w:bCs/>
          <w:color w:val="000000"/>
          <w:kern w:val="0"/>
          <w:sz w:val="44"/>
          <w:szCs w:val="32"/>
        </w:rPr>
        <w:t>十大示范场景</w:t>
      </w:r>
    </w:p>
    <w:p w14:paraId="3DA21A85">
      <w:pPr>
        <w:adjustRightInd w:val="0"/>
        <w:snapToGrid w:val="0"/>
        <w:spacing w:line="600" w:lineRule="exact"/>
        <w:ind w:firstLine="883" w:firstLineChars="200"/>
        <w:rPr>
          <w:rFonts w:ascii="Times New Roman" w:hAnsi="Times New Roman" w:eastAsia="黑体"/>
          <w:b/>
          <w:color w:val="000000"/>
          <w:sz w:val="44"/>
          <w:szCs w:val="32"/>
        </w:rPr>
      </w:pPr>
    </w:p>
    <w:p w14:paraId="6F907166">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一、轨道交通装备柔性制造（</w:t>
      </w:r>
      <w:r>
        <w:rPr>
          <w:rFonts w:ascii="Times New Roman" w:hAnsi="Times New Roman" w:eastAsia="黑体"/>
          <w:bCs/>
          <w:color w:val="000000"/>
          <w:sz w:val="32"/>
          <w:szCs w:val="32"/>
        </w:rPr>
        <w:t>AI+</w:t>
      </w:r>
      <w:r>
        <w:rPr>
          <w:rFonts w:ascii="Times New Roman" w:eastAsia="黑体"/>
          <w:bCs/>
          <w:color w:val="000000"/>
          <w:sz w:val="32"/>
          <w:szCs w:val="32"/>
        </w:rPr>
        <w:t>离散型制造）</w:t>
      </w:r>
    </w:p>
    <w:p w14:paraId="70914C32">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离散型制造业多品种小批量定制化生产模式下的运营成本高、生产周期长等瓶颈问题，综合运用数字孪生、工业互联网和人工智能等关键技术，构建智能制造全过程典型应用场景，实现设计、生产、运维等环节的智能化升级。</w:t>
      </w:r>
    </w:p>
    <w:p w14:paraId="15B78777">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示范应用：</w:t>
      </w:r>
      <w:r>
        <w:rPr>
          <w:rFonts w:ascii="Times New Roman" w:eastAsia="仿宋_GB2312"/>
          <w:bCs/>
          <w:color w:val="000000"/>
          <w:kern w:val="0"/>
          <w:sz w:val="32"/>
          <w:szCs w:val="32"/>
        </w:rPr>
        <w:t>中车株洲电力机车有限公司智能制造工厂</w:t>
      </w:r>
      <w:r>
        <w:rPr>
          <w:rFonts w:hint="eastAsia" w:ascii="Times New Roman" w:hAnsi="Times New Roman" w:eastAsia="仿宋_GB2312"/>
          <w:bCs/>
          <w:color w:val="000000"/>
          <w:kern w:val="0"/>
          <w:sz w:val="32"/>
          <w:szCs w:val="32"/>
        </w:rPr>
        <w:t>——</w:t>
      </w:r>
      <w:r>
        <w:rPr>
          <w:rFonts w:ascii="Times New Roman" w:eastAsia="仿宋_GB2312"/>
          <w:bCs/>
          <w:color w:val="000000"/>
          <w:kern w:val="0"/>
          <w:sz w:val="32"/>
          <w:szCs w:val="32"/>
        </w:rPr>
        <w:t>全球轨道交通装备行业首个全流程智能化生产基地，荣获国家级智能制造示范工厂。该工厂综合运用</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视觉检测、预测性维护、数字孪生等技术，结合有轨移车台防碰撞系统、智能立库等硬件设施，重点围绕转向架制造车间部署了多个智能制造场景，具体包括：通过</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视觉检测系统实现车体涂装自动质检，依托预测性维护系统减少异常停机，借助数字孪生技术实现工艺数字化设计和生产计划优化，运用</w:t>
      </w:r>
      <w:r>
        <w:rPr>
          <w:rFonts w:ascii="Times New Roman" w:hAnsi="Times New Roman" w:eastAsia="仿宋_GB2312"/>
          <w:bCs/>
          <w:color w:val="000000"/>
          <w:kern w:val="0"/>
          <w:sz w:val="32"/>
          <w:szCs w:val="32"/>
        </w:rPr>
        <w:t>AGV</w:t>
      </w:r>
      <w:r>
        <w:rPr>
          <w:rFonts w:ascii="Times New Roman" w:eastAsia="仿宋_GB2312"/>
          <w:bCs/>
          <w:color w:val="000000"/>
          <w:kern w:val="0"/>
          <w:sz w:val="32"/>
          <w:szCs w:val="32"/>
        </w:rPr>
        <w:t>调度系统提升物料配送效率等。场景建设成效显著，面漆缺陷识别准确率达</w:t>
      </w:r>
      <w:r>
        <w:rPr>
          <w:rFonts w:ascii="Times New Roman" w:hAnsi="Times New Roman" w:eastAsia="仿宋_GB2312"/>
          <w:bCs/>
          <w:color w:val="000000"/>
          <w:kern w:val="0"/>
          <w:sz w:val="32"/>
          <w:szCs w:val="32"/>
        </w:rPr>
        <w:t>98%</w:t>
      </w:r>
      <w:r>
        <w:rPr>
          <w:rFonts w:ascii="Times New Roman" w:eastAsia="仿宋_GB2312"/>
          <w:bCs/>
          <w:color w:val="000000"/>
          <w:kern w:val="0"/>
          <w:sz w:val="32"/>
          <w:szCs w:val="32"/>
        </w:rPr>
        <w:t>、年减少安全事故停工</w:t>
      </w:r>
      <w:r>
        <w:rPr>
          <w:rFonts w:ascii="Times New Roman" w:hAnsi="Times New Roman" w:eastAsia="仿宋_GB2312"/>
          <w:bCs/>
          <w:color w:val="000000"/>
          <w:kern w:val="0"/>
          <w:sz w:val="32"/>
          <w:szCs w:val="32"/>
        </w:rPr>
        <w:t>120</w:t>
      </w:r>
      <w:r>
        <w:rPr>
          <w:rFonts w:ascii="Times New Roman" w:eastAsia="仿宋_GB2312"/>
          <w:bCs/>
          <w:color w:val="000000"/>
          <w:kern w:val="0"/>
          <w:sz w:val="32"/>
          <w:szCs w:val="32"/>
        </w:rPr>
        <w:t>小时、提高产线利用率</w:t>
      </w:r>
      <w:r>
        <w:rPr>
          <w:rFonts w:ascii="Times New Roman" w:hAnsi="Times New Roman" w:eastAsia="仿宋_GB2312"/>
          <w:bCs/>
          <w:color w:val="000000"/>
          <w:kern w:val="0"/>
          <w:sz w:val="32"/>
          <w:szCs w:val="32"/>
        </w:rPr>
        <w:t>25%</w:t>
      </w:r>
      <w:r>
        <w:rPr>
          <w:rFonts w:ascii="Times New Roman" w:eastAsia="仿宋_GB2312"/>
          <w:bCs/>
          <w:color w:val="000000"/>
          <w:kern w:val="0"/>
          <w:sz w:val="32"/>
          <w:szCs w:val="32"/>
        </w:rPr>
        <w:t>、提升物料配送效率</w:t>
      </w:r>
      <w:r>
        <w:rPr>
          <w:rFonts w:ascii="Times New Roman" w:hAnsi="Times New Roman" w:eastAsia="仿宋_GB2312"/>
          <w:bCs/>
          <w:color w:val="000000"/>
          <w:kern w:val="0"/>
          <w:sz w:val="32"/>
          <w:szCs w:val="32"/>
        </w:rPr>
        <w:t>40%</w:t>
      </w:r>
      <w:r>
        <w:rPr>
          <w:rFonts w:ascii="Times New Roman" w:eastAsia="仿宋_GB2312"/>
          <w:bCs/>
          <w:color w:val="000000"/>
          <w:kern w:val="0"/>
          <w:sz w:val="32"/>
          <w:szCs w:val="32"/>
        </w:rPr>
        <w:t>、降低运营成本</w:t>
      </w:r>
      <w:r>
        <w:rPr>
          <w:rFonts w:ascii="Times New Roman" w:hAnsi="Times New Roman" w:eastAsia="仿宋_GB2312"/>
          <w:bCs/>
          <w:color w:val="000000"/>
          <w:kern w:val="0"/>
          <w:sz w:val="32"/>
          <w:szCs w:val="32"/>
        </w:rPr>
        <w:t>20%</w:t>
      </w:r>
      <w:r>
        <w:rPr>
          <w:rFonts w:ascii="Times New Roman" w:eastAsia="仿宋_GB2312"/>
          <w:bCs/>
          <w:color w:val="000000"/>
          <w:kern w:val="0"/>
          <w:sz w:val="32"/>
          <w:szCs w:val="32"/>
        </w:rPr>
        <w:t>、缩短产品研制周期</w:t>
      </w:r>
      <w:r>
        <w:rPr>
          <w:rFonts w:ascii="Times New Roman" w:hAnsi="Times New Roman" w:eastAsia="仿宋_GB2312"/>
          <w:bCs/>
          <w:color w:val="000000"/>
          <w:kern w:val="0"/>
          <w:sz w:val="32"/>
          <w:szCs w:val="32"/>
        </w:rPr>
        <w:t>50%</w:t>
      </w:r>
      <w:r>
        <w:rPr>
          <w:rFonts w:ascii="Times New Roman" w:eastAsia="仿宋_GB2312"/>
          <w:bCs/>
          <w:color w:val="000000"/>
          <w:kern w:val="0"/>
          <w:sz w:val="32"/>
          <w:szCs w:val="32"/>
        </w:rPr>
        <w:t>、提高生产效率</w:t>
      </w:r>
      <w:r>
        <w:rPr>
          <w:rFonts w:ascii="Times New Roman" w:hAnsi="Times New Roman" w:eastAsia="仿宋_GB2312"/>
          <w:bCs/>
          <w:color w:val="000000"/>
          <w:kern w:val="0"/>
          <w:sz w:val="32"/>
          <w:szCs w:val="32"/>
        </w:rPr>
        <w:t>30%</w:t>
      </w:r>
      <w:r>
        <w:rPr>
          <w:rFonts w:ascii="Times New Roman" w:eastAsia="仿宋_GB2312"/>
          <w:bCs/>
          <w:color w:val="000000"/>
          <w:kern w:val="0"/>
          <w:sz w:val="32"/>
          <w:szCs w:val="32"/>
        </w:rPr>
        <w:t>，实现了轨道交通装备的全生命周期各环节的智能制造。</w:t>
      </w:r>
    </w:p>
    <w:p w14:paraId="709436D7">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推广价值：</w:t>
      </w:r>
      <w:r>
        <w:rPr>
          <w:rFonts w:asci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离散型制造</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领域的典型场景，形成了</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智能装备</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工业互联</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人工智能</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的智能制造新模式，有效解决了多品种小批量生产中的质量一致性难题，为轨道交通装备行业提供了可复制、可推广的智能工厂建设方案。</w:t>
      </w:r>
    </w:p>
    <w:p w14:paraId="1D5D2F39">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二、钢铁行业盘古大模型应用（</w:t>
      </w:r>
      <w:r>
        <w:rPr>
          <w:rFonts w:ascii="Times New Roman" w:hAnsi="Times New Roman" w:eastAsia="黑体"/>
          <w:bCs/>
          <w:color w:val="000000"/>
          <w:sz w:val="32"/>
          <w:szCs w:val="32"/>
        </w:rPr>
        <w:t>AI+</w:t>
      </w:r>
      <w:r>
        <w:rPr>
          <w:rFonts w:ascii="Times New Roman" w:eastAsia="黑体"/>
          <w:bCs/>
          <w:color w:val="000000"/>
          <w:sz w:val="32"/>
          <w:szCs w:val="32"/>
        </w:rPr>
        <w:t>流程型制造）</w:t>
      </w:r>
    </w:p>
    <w:p w14:paraId="27E1F9DC">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流程型制造业生产流程复杂多变、能耗高等痛点问题，聚焦工厂中关键业务环节，综合运用大模型技术，构建生产过程智能决策、柔性制造、设备能耗优化、设备智能诊断与维护等典型场景，实现劳动生产率、产品质量和能源利用水平提升。</w:t>
      </w:r>
    </w:p>
    <w:p w14:paraId="21ABCAA8">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示范应用：</w:t>
      </w:r>
      <w:r>
        <w:rPr>
          <w:rFonts w:ascii="Times New Roman" w:eastAsia="仿宋_GB2312"/>
          <w:bCs/>
          <w:color w:val="000000"/>
          <w:kern w:val="0"/>
          <w:sz w:val="32"/>
          <w:szCs w:val="32"/>
        </w:rPr>
        <w:t>湘钢集团联合华为打造的</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钢铁行业盘古大模型</w:t>
      </w:r>
      <w:r>
        <w:rPr>
          <w:rFonts w:hint="eastAsia" w:ascii="仿宋_GB2312" w:hAnsi="Times New Roman" w:eastAsia="仿宋_GB2312"/>
          <w:bCs/>
          <w:color w:val="000000"/>
          <w:kern w:val="0"/>
          <w:sz w:val="32"/>
          <w:szCs w:val="32"/>
        </w:rPr>
        <w:t>”</w:t>
      </w:r>
      <w:r>
        <w:rPr>
          <w:rFonts w:hint="eastAsia" w:ascii="Times New Roman" w:hAnsi="Times New Roman" w:eastAsia="仿宋_GB2312"/>
          <w:bCs/>
          <w:color w:val="000000"/>
          <w:kern w:val="0"/>
          <w:sz w:val="32"/>
          <w:szCs w:val="32"/>
        </w:rPr>
        <w:t xml:space="preserve"> ——</w:t>
      </w:r>
      <w:r>
        <w:rPr>
          <w:rFonts w:ascii="Times New Roman" w:eastAsia="仿宋_GB2312"/>
          <w:bCs/>
          <w:color w:val="000000"/>
          <w:kern w:val="0"/>
          <w:sz w:val="32"/>
          <w:szCs w:val="32"/>
        </w:rPr>
        <w:t>全球首个钢铁行业大模型，荣获</w:t>
      </w:r>
      <w:r>
        <w:rPr>
          <w:rFonts w:ascii="Times New Roman" w:hAnsi="Times New Roman" w:eastAsia="仿宋_GB2312"/>
          <w:bCs/>
          <w:color w:val="000000"/>
          <w:kern w:val="0"/>
          <w:sz w:val="32"/>
          <w:szCs w:val="32"/>
        </w:rPr>
        <w:t>2024</w:t>
      </w:r>
      <w:r>
        <w:rPr>
          <w:rFonts w:ascii="Times New Roman" w:eastAsia="仿宋_GB2312"/>
          <w:bCs/>
          <w:color w:val="000000"/>
          <w:kern w:val="0"/>
          <w:sz w:val="32"/>
          <w:szCs w:val="32"/>
        </w:rPr>
        <w:t>年国际电信联盟人工智能优秀创新案例奖。该模型依托千亿级参数规模、海量工业数据训练和多模态融合分析三大技术支柱，构建出具备强大感知、预测与决策能力的智能化底座。在与湘钢现有系统全面集成的基础上，实现了全链路闭环管理，真正做到</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赋能产线、数据驱动制造</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。大模型已全面应用于</w:t>
      </w:r>
      <w:r>
        <w:rPr>
          <w:rFonts w:ascii="Times New Roman" w:hAnsi="Times New Roman" w:eastAsia="仿宋_GB2312"/>
          <w:bCs/>
          <w:color w:val="000000"/>
          <w:kern w:val="0"/>
          <w:sz w:val="32"/>
          <w:szCs w:val="32"/>
        </w:rPr>
        <w:t>23</w:t>
      </w:r>
      <w:r>
        <w:rPr>
          <w:rFonts w:ascii="Times New Roman" w:eastAsia="仿宋_GB2312"/>
          <w:bCs/>
          <w:color w:val="000000"/>
          <w:kern w:val="0"/>
          <w:sz w:val="32"/>
          <w:szCs w:val="32"/>
        </w:rPr>
        <w:t>个视觉类场景和</w:t>
      </w:r>
      <w:r>
        <w:rPr>
          <w:rFonts w:ascii="Times New Roman" w:hAnsi="Times New Roman" w:eastAsia="仿宋_GB2312"/>
          <w:bCs/>
          <w:color w:val="000000"/>
          <w:kern w:val="0"/>
          <w:sz w:val="32"/>
          <w:szCs w:val="32"/>
        </w:rPr>
        <w:t>9</w:t>
      </w:r>
      <w:r>
        <w:rPr>
          <w:rFonts w:ascii="Times New Roman" w:eastAsia="仿宋_GB2312"/>
          <w:bCs/>
          <w:color w:val="000000"/>
          <w:kern w:val="0"/>
          <w:sz w:val="32"/>
          <w:szCs w:val="32"/>
        </w:rPr>
        <w:t>个预测类场景，将关键工艺推荐准确率提升至</w:t>
      </w:r>
      <w:r>
        <w:rPr>
          <w:rFonts w:ascii="Times New Roman" w:hAnsi="Times New Roman" w:eastAsia="仿宋_GB2312"/>
          <w:bCs/>
          <w:color w:val="000000"/>
          <w:kern w:val="0"/>
          <w:sz w:val="32"/>
          <w:szCs w:val="32"/>
        </w:rPr>
        <w:t>95%</w:t>
      </w:r>
      <w:r>
        <w:rPr>
          <w:rFonts w:ascii="Times New Roman" w:eastAsia="仿宋_GB2312"/>
          <w:bCs/>
          <w:color w:val="000000"/>
          <w:kern w:val="0"/>
          <w:sz w:val="32"/>
          <w:szCs w:val="32"/>
        </w:rPr>
        <w:t>以上，吨钢综合能耗降低约</w:t>
      </w:r>
      <w:r>
        <w:rPr>
          <w:rFonts w:ascii="Times New Roman" w:hAnsi="Times New Roman" w:eastAsia="仿宋_GB2312"/>
          <w:bCs/>
          <w:color w:val="000000"/>
          <w:kern w:val="0"/>
          <w:sz w:val="32"/>
          <w:szCs w:val="32"/>
        </w:rPr>
        <w:t>4%</w:t>
      </w:r>
      <w:r>
        <w:rPr>
          <w:rFonts w:ascii="Times New Roman" w:eastAsia="仿宋_GB2312"/>
          <w:bCs/>
          <w:color w:val="000000"/>
          <w:kern w:val="0"/>
          <w:sz w:val="32"/>
          <w:szCs w:val="32"/>
        </w:rPr>
        <w:t>，质量判定效率提升超</w:t>
      </w:r>
      <w:r>
        <w:rPr>
          <w:rFonts w:ascii="Times New Roman" w:hAnsi="Times New Roman" w:eastAsia="仿宋_GB2312"/>
          <w:bCs/>
          <w:color w:val="000000"/>
          <w:kern w:val="0"/>
          <w:sz w:val="32"/>
          <w:szCs w:val="32"/>
        </w:rPr>
        <w:t>50%</w:t>
      </w:r>
      <w:r>
        <w:rPr>
          <w:rFonts w:ascii="Times New Roman" w:eastAsia="仿宋_GB2312"/>
          <w:bCs/>
          <w:color w:val="000000"/>
          <w:kern w:val="0"/>
          <w:sz w:val="32"/>
          <w:szCs w:val="32"/>
        </w:rPr>
        <w:t>，在劳动生产率、产品质量和节能降耗等方面实现跨越式进步。</w:t>
      </w:r>
    </w:p>
    <w:p w14:paraId="7FEC1BBB">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推广价值：</w:t>
      </w:r>
      <w:r>
        <w:rPr>
          <w:rFonts w:asci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流程型制造</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领域的典型场景，其打造的</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大模型智能炼钢范式，有效解决了流程制造业在质量一致性与成本控制方面的核心难题，对省内乃至全国钢铁及有色、化工等行业均具备重大借鉴意义和推广价值。</w:t>
      </w:r>
    </w:p>
    <w:p w14:paraId="0D141AFF">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三、水稻无人智慧农场（</w:t>
      </w:r>
      <w:r>
        <w:rPr>
          <w:rFonts w:ascii="Times New Roman" w:hAnsi="Times New Roman" w:eastAsia="黑体"/>
          <w:bCs/>
          <w:color w:val="000000"/>
          <w:sz w:val="32"/>
          <w:szCs w:val="32"/>
        </w:rPr>
        <w:t>AI+</w:t>
      </w:r>
      <w:r>
        <w:rPr>
          <w:rFonts w:ascii="Times New Roman" w:eastAsia="黑体"/>
          <w:bCs/>
          <w:color w:val="000000"/>
          <w:sz w:val="32"/>
          <w:szCs w:val="32"/>
        </w:rPr>
        <w:t>农业）</w:t>
      </w:r>
    </w:p>
    <w:p w14:paraId="78E512E9">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针对水稻、玉米、小麦、棉花等农作物生产过程，聚焦</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耕、种、管、收</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等关键作业环节，以群体智能自主无人作业的农业装备等关键技术载体，结合可实时分析土壤变化、作物长势的</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农业管控平台，构建农机行为控制、智慧农场大脑等规模化作业场景，实现农业生产的集约化、少人化、精准化。</w:t>
      </w:r>
    </w:p>
    <w:p w14:paraId="5291E50F">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示范应用：</w:t>
      </w:r>
      <w:r>
        <w:rPr>
          <w:rFonts w:ascii="Times New Roman" w:eastAsia="仿宋_GB2312"/>
          <w:bCs/>
          <w:color w:val="000000"/>
          <w:kern w:val="0"/>
          <w:sz w:val="32"/>
          <w:szCs w:val="32"/>
        </w:rPr>
        <w:t>益阳市大通湖区水稻无人智慧农场</w:t>
      </w:r>
      <w:r>
        <w:rPr>
          <w:rFonts w:hint="eastAsia" w:ascii="Times New Roman" w:hAnsi="Times New Roman" w:eastAsia="仿宋_GB2312"/>
          <w:bCs/>
          <w:color w:val="000000"/>
          <w:kern w:val="0"/>
          <w:sz w:val="32"/>
          <w:szCs w:val="32"/>
        </w:rPr>
        <w:t>——</w:t>
      </w:r>
      <w:r>
        <w:rPr>
          <w:rFonts w:ascii="Times New Roman" w:eastAsia="仿宋_GB2312"/>
          <w:bCs/>
          <w:color w:val="000000"/>
          <w:kern w:val="0"/>
          <w:sz w:val="32"/>
          <w:szCs w:val="32"/>
        </w:rPr>
        <w:t>全球首个专注于水稻生产的智能化农业示范基地。该农场瞄准水稻生产中的减碾压和全周期精准管理需求，综合运用智能算法、知识图谱和北斗定位等技术，实现了从耕田、播种、管理到收割、产出的全流程智能化。在田间，北斗导航无人驾驶农机完成直线精准种植与自动化作业；在天上，农用无人机采集作物光谱、长势与环境等多维实时数据，回传至</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云管控平台。平台通过</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农机</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农艺</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算法</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深度融合，生成水稻长势监测图，智能决策施肥指令，并自主调度农机执行作业，真正实现</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无人化管田、</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智慧种地</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。稻苗碾压率从</w:t>
      </w:r>
      <w:r>
        <w:rPr>
          <w:rFonts w:ascii="Times New Roman" w:hAnsi="Times New Roman" w:eastAsia="仿宋_GB2312"/>
          <w:bCs/>
          <w:color w:val="000000"/>
          <w:kern w:val="0"/>
          <w:sz w:val="32"/>
          <w:szCs w:val="32"/>
        </w:rPr>
        <w:t>40%</w:t>
      </w:r>
      <w:r>
        <w:rPr>
          <w:rFonts w:ascii="Times New Roman" w:eastAsia="仿宋_GB2312"/>
          <w:bCs/>
          <w:color w:val="000000"/>
          <w:kern w:val="0"/>
          <w:sz w:val="32"/>
          <w:szCs w:val="32"/>
        </w:rPr>
        <w:t>大幅降至约</w:t>
      </w:r>
      <w:r>
        <w:rPr>
          <w:rFonts w:ascii="Times New Roman" w:hAnsi="Times New Roman" w:eastAsia="仿宋_GB2312"/>
          <w:bCs/>
          <w:color w:val="000000"/>
          <w:kern w:val="0"/>
          <w:sz w:val="32"/>
          <w:szCs w:val="32"/>
        </w:rPr>
        <w:t>10%</w:t>
      </w:r>
      <w:r>
        <w:rPr>
          <w:rFonts w:ascii="Times New Roman" w:eastAsia="仿宋_GB2312"/>
          <w:bCs/>
          <w:color w:val="000000"/>
          <w:kern w:val="0"/>
          <w:sz w:val="32"/>
          <w:szCs w:val="32"/>
        </w:rPr>
        <w:t>，氮肥用量减少</w:t>
      </w:r>
      <w:r>
        <w:rPr>
          <w:rFonts w:ascii="Times New Roman" w:hAnsi="Times New Roman" w:eastAsia="仿宋_GB2312"/>
          <w:bCs/>
          <w:color w:val="000000"/>
          <w:kern w:val="0"/>
          <w:sz w:val="32"/>
          <w:szCs w:val="32"/>
        </w:rPr>
        <w:t>28%</w:t>
      </w:r>
      <w:r>
        <w:rPr>
          <w:rFonts w:ascii="Times New Roman" w:eastAsia="仿宋_GB2312"/>
          <w:bCs/>
          <w:color w:val="000000"/>
          <w:kern w:val="0"/>
          <w:sz w:val="32"/>
          <w:szCs w:val="32"/>
        </w:rPr>
        <w:t>，每亩综合效益提升约</w:t>
      </w:r>
      <w:r>
        <w:rPr>
          <w:rFonts w:ascii="Times New Roman" w:hAnsi="Times New Roman" w:eastAsia="仿宋_GB2312"/>
          <w:bCs/>
          <w:color w:val="000000"/>
          <w:kern w:val="0"/>
          <w:sz w:val="32"/>
          <w:szCs w:val="32"/>
        </w:rPr>
        <w:t>300</w:t>
      </w:r>
      <w:r>
        <w:rPr>
          <w:rFonts w:ascii="Times New Roman" w:eastAsia="仿宋_GB2312"/>
          <w:bCs/>
          <w:color w:val="000000"/>
          <w:kern w:val="0"/>
          <w:sz w:val="32"/>
          <w:szCs w:val="32"/>
        </w:rPr>
        <w:t>元，生产效率和种植收益得到大幅提高。</w:t>
      </w:r>
    </w:p>
    <w:p w14:paraId="2904E622">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推广价值：</w:t>
      </w:r>
      <w:r>
        <w:rPr>
          <w:rFonts w:asci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农业</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领域的典型场景，其构建的</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智能装备</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平台</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精准农业模式，有效缓解了劳动力短缺与生产粗放问题，实现了作物增产、经营增效与资源高效利用，为水稻乃至大田作物绿色高效种植提供了可复制、可推广的湖区智慧农业建设样板。</w:t>
      </w:r>
    </w:p>
    <w:p w14:paraId="1BF53A49">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四、大模型赋能音视频内容创作（</w:t>
      </w:r>
      <w:r>
        <w:rPr>
          <w:rFonts w:ascii="Times New Roman" w:hAnsi="Times New Roman" w:eastAsia="黑体"/>
          <w:bCs/>
          <w:color w:val="000000"/>
          <w:sz w:val="32"/>
          <w:szCs w:val="32"/>
        </w:rPr>
        <w:t>AI+</w:t>
      </w:r>
      <w:r>
        <w:rPr>
          <w:rFonts w:ascii="Times New Roman" w:eastAsia="黑体"/>
          <w:bCs/>
          <w:color w:val="000000"/>
          <w:sz w:val="32"/>
          <w:szCs w:val="32"/>
        </w:rPr>
        <w:t>音视频）</w:t>
      </w:r>
    </w:p>
    <w:p w14:paraId="3B04A81E">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针对综艺、剧集、短视频等音视频内容生产过程中的素材管理、粗剪精编、包装特效、宣发推广等关键业务环节，深度运用大模型所具备的多模态理解、生成式</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、智能决策等核心能力，构建素材价值自动评估、剧情看点智能识别、</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剪辑师实时协作、内容生成与精准分发等智能化制播典型场景，实现音视频内容生产的高效化输出、大众化创作和个性化服务。</w:t>
      </w:r>
    </w:p>
    <w:p w14:paraId="5DDF678F">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示范应用：</w:t>
      </w:r>
      <w:r>
        <w:rPr>
          <w:rFonts w:ascii="Times New Roman" w:eastAsia="仿宋_GB2312"/>
          <w:bCs/>
          <w:color w:val="000000"/>
          <w:kern w:val="0"/>
          <w:sz w:val="32"/>
          <w:szCs w:val="32"/>
        </w:rPr>
        <w:t>芒果</w:t>
      </w:r>
      <w:r>
        <w:rPr>
          <w:rFonts w:ascii="Times New Roman" w:hAnsi="Times New Roman" w:eastAsia="仿宋_GB2312"/>
          <w:bCs/>
          <w:color w:val="000000"/>
          <w:kern w:val="0"/>
          <w:sz w:val="32"/>
          <w:szCs w:val="32"/>
        </w:rPr>
        <w:t>TV</w:t>
      </w:r>
      <w:r>
        <w:rPr>
          <w:rFonts w:ascii="Times New Roman" w:eastAsia="仿宋_GB2312"/>
          <w:bCs/>
          <w:color w:val="000000"/>
          <w:kern w:val="0"/>
          <w:sz w:val="32"/>
          <w:szCs w:val="32"/>
        </w:rPr>
        <w:t>的</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芒果大模型</w:t>
      </w:r>
      <w:r>
        <w:rPr>
          <w:rFonts w:hint="eastAsia" w:ascii="仿宋_GB2312" w:hAnsi="Times New Roman" w:eastAsia="仿宋_GB2312"/>
          <w:bCs/>
          <w:color w:val="000000"/>
          <w:kern w:val="0"/>
          <w:sz w:val="32"/>
          <w:szCs w:val="32"/>
        </w:rPr>
        <w:t>”</w:t>
      </w:r>
      <w:r>
        <w:rPr>
          <w:rFonts w:hint="eastAsia" w:ascii="Times New Roman" w:hAnsi="Times New Roman" w:eastAsia="仿宋_GB2312"/>
          <w:bCs/>
          <w:color w:val="000000"/>
          <w:kern w:val="0"/>
          <w:sz w:val="32"/>
          <w:szCs w:val="32"/>
        </w:rPr>
        <w:t>——</w:t>
      </w:r>
      <w:r>
        <w:rPr>
          <w:rFonts w:ascii="Times New Roman" w:eastAsia="仿宋_GB2312"/>
          <w:bCs/>
          <w:color w:val="000000"/>
          <w:kern w:val="0"/>
          <w:sz w:val="32"/>
          <w:szCs w:val="32"/>
        </w:rPr>
        <w:t>国内首款专注于音视频垂直领域的人工智能大模型，也是广电行业首批获中央网信办备案的大模型。该模型基于百亿级参数规模，依托海量优质视听语料训练，深度融合</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生成技术与音视频全链路生产流程，覆盖智能编剧、</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剪辑、虚拟人播报、内容审核、智能推荐等多个关键环节，形成强大的多模态理解、生成与决策能力。同时，该模型能够主动识别并拦截高危舆情和违规内容，显著增强平台内容安全保障。大模型部署应用以来，降低制作成本约</w:t>
      </w:r>
      <w:r>
        <w:rPr>
          <w:rFonts w:ascii="Times New Roman" w:hAnsi="Times New Roman" w:eastAsia="仿宋_GB2312"/>
          <w:bCs/>
          <w:color w:val="000000"/>
          <w:kern w:val="0"/>
          <w:sz w:val="32"/>
          <w:szCs w:val="32"/>
        </w:rPr>
        <w:t>20%</w:t>
      </w:r>
      <w:r>
        <w:rPr>
          <w:rFonts w:ascii="Times New Roman" w:eastAsia="仿宋_GB2312"/>
          <w:bCs/>
          <w:color w:val="000000"/>
          <w:kern w:val="0"/>
          <w:sz w:val="32"/>
          <w:szCs w:val="32"/>
        </w:rPr>
        <w:t>，提升生产效率超</w:t>
      </w:r>
      <w:r>
        <w:rPr>
          <w:rFonts w:ascii="Times New Roman" w:hAnsi="Times New Roman" w:eastAsia="仿宋_GB2312"/>
          <w:bCs/>
          <w:color w:val="000000"/>
          <w:kern w:val="0"/>
          <w:sz w:val="32"/>
          <w:szCs w:val="32"/>
        </w:rPr>
        <w:t>30%</w:t>
      </w:r>
      <w:r>
        <w:rPr>
          <w:rFonts w:ascii="Times New Roman" w:eastAsia="仿宋_GB2312"/>
          <w:bCs/>
          <w:color w:val="000000"/>
          <w:kern w:val="0"/>
          <w:sz w:val="32"/>
          <w:szCs w:val="32"/>
        </w:rPr>
        <w:t>，提升有效播放率</w:t>
      </w:r>
      <w:r>
        <w:rPr>
          <w:rFonts w:ascii="Times New Roman" w:hAnsi="Times New Roman" w:eastAsia="仿宋_GB2312"/>
          <w:bCs/>
          <w:color w:val="000000"/>
          <w:kern w:val="0"/>
          <w:sz w:val="32"/>
          <w:szCs w:val="32"/>
        </w:rPr>
        <w:t>25%</w:t>
      </w:r>
      <w:r>
        <w:rPr>
          <w:rFonts w:ascii="Times New Roman" w:eastAsia="仿宋_GB2312"/>
          <w:bCs/>
          <w:color w:val="000000"/>
          <w:kern w:val="0"/>
          <w:sz w:val="32"/>
          <w:szCs w:val="32"/>
        </w:rPr>
        <w:t>，经济社会效益显著。</w:t>
      </w:r>
    </w:p>
    <w:p w14:paraId="049265FA">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推广价值：</w:t>
      </w:r>
      <w:r>
        <w:rPr>
          <w:rFonts w:asci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音视频</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领域的典型场景，其构建的</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AIGC+</w:t>
      </w:r>
      <w:r>
        <w:rPr>
          <w:rFonts w:ascii="Times New Roman" w:eastAsia="仿宋_GB2312"/>
          <w:bCs/>
          <w:color w:val="000000"/>
          <w:kern w:val="0"/>
          <w:sz w:val="32"/>
          <w:szCs w:val="32"/>
        </w:rPr>
        <w:t>音视频</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技术范式，有效解决了内容生产效率与质量协同提升难的行业痛点，项目的解决方案具备广泛的产业推广价值，为国内音视频行业高质量、高效率、高标准发展提供了可复制的技术路径。</w:t>
      </w:r>
    </w:p>
    <w:p w14:paraId="72F31DE9">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五、政务服务智能体应用（</w:t>
      </w:r>
      <w:r>
        <w:rPr>
          <w:rFonts w:ascii="Times New Roman" w:hAnsi="Times New Roman" w:eastAsia="黑体"/>
          <w:bCs/>
          <w:color w:val="000000"/>
          <w:sz w:val="32"/>
          <w:szCs w:val="32"/>
        </w:rPr>
        <w:t>AI+</w:t>
      </w:r>
      <w:r>
        <w:rPr>
          <w:rFonts w:ascii="Times New Roman" w:eastAsia="黑体"/>
          <w:bCs/>
          <w:color w:val="000000"/>
          <w:sz w:val="32"/>
          <w:szCs w:val="32"/>
        </w:rPr>
        <w:t>政务）</w:t>
      </w:r>
    </w:p>
    <w:p w14:paraId="48D7863E">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针对传统政务服务中人工咨询效率低、准确性不足、政务大厅数字化水平不高等痛点问题，聚焦</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询、办、批、管</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等关键服务环节，综合运用大语言模型、自然语言处理、知识图谱、智能推理等关键技术，构建智能咨询、精准导办、在线审批、效能监管等典型应用场景，实现政务服务从</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人工粗放式</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向</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智能精准化</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转型，让群众办事更便捷，政府服务更高效。</w:t>
      </w:r>
    </w:p>
    <w:p w14:paraId="7E8B7689">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eastAsia="楷体_GB2312"/>
          <w:bCs/>
          <w:color w:val="000000"/>
          <w:sz w:val="32"/>
          <w:szCs w:val="32"/>
        </w:rPr>
        <w:t>示范应用：</w:t>
      </w:r>
      <w:r>
        <w:rPr>
          <w:rFonts w:ascii="Times New Roman" w:eastAsia="仿宋_GB2312"/>
          <w:bCs/>
          <w:color w:val="000000"/>
          <w:kern w:val="0"/>
          <w:sz w:val="32"/>
          <w:szCs w:val="32"/>
        </w:rPr>
        <w:t>郴州市政务服务智能体</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郴小</w:t>
      </w:r>
      <w:r>
        <w:rPr>
          <w:rFonts w:ascii="Times New Roman" w:hAnsi="Times New Roman" w:eastAsia="仿宋_GB2312"/>
          <w:bCs/>
          <w:color w:val="000000"/>
          <w:kern w:val="0"/>
          <w:sz w:val="32"/>
          <w:szCs w:val="32"/>
        </w:rPr>
        <w:t>AI</w:t>
      </w:r>
      <w:r>
        <w:rPr>
          <w:rFonts w:hint="eastAsia" w:ascii="仿宋_GB2312" w:hAnsi="Times New Roman" w:eastAsia="仿宋_GB2312"/>
          <w:bCs/>
          <w:color w:val="000000"/>
          <w:kern w:val="0"/>
          <w:sz w:val="32"/>
          <w:szCs w:val="32"/>
        </w:rPr>
        <w:t>”</w:t>
      </w:r>
      <w:r>
        <w:rPr>
          <w:rFonts w:hint="eastAsia" w:ascii="Times New Roman" w:hAnsi="Times New Roman" w:eastAsia="仿宋_GB2312"/>
          <w:bCs/>
          <w:color w:val="000000"/>
          <w:kern w:val="0"/>
          <w:sz w:val="32"/>
          <w:szCs w:val="32"/>
        </w:rPr>
        <w:t>——</w:t>
      </w:r>
      <w:r>
        <w:rPr>
          <w:rFonts w:ascii="Times New Roman" w:eastAsia="仿宋_GB2312"/>
          <w:bCs/>
          <w:color w:val="000000"/>
          <w:kern w:val="0"/>
          <w:sz w:val="32"/>
          <w:szCs w:val="32"/>
        </w:rPr>
        <w:t>湖南省首个基于大语言模型的政务智能服务平台。</w:t>
      </w:r>
      <w:r>
        <w:rPr>
          <w:rFonts w:ascii="Times New Roman" w:eastAsia="仿宋_GB2312"/>
          <w:bCs/>
          <w:color w:val="000000"/>
          <w:sz w:val="32"/>
          <w:szCs w:val="32"/>
        </w:rPr>
        <w:t>该</w:t>
      </w:r>
      <w:r>
        <w:rPr>
          <w:rFonts w:ascii="Times New Roman" w:eastAsia="仿宋_GB2312"/>
          <w:bCs/>
          <w:color w:val="000000"/>
          <w:kern w:val="0"/>
          <w:sz w:val="32"/>
          <w:szCs w:val="32"/>
        </w:rPr>
        <w:t>智能体</w:t>
      </w:r>
      <w:r>
        <w:rPr>
          <w:rFonts w:ascii="Times New Roman" w:eastAsia="仿宋_GB2312"/>
          <w:bCs/>
          <w:color w:val="000000"/>
          <w:sz w:val="32"/>
          <w:szCs w:val="32"/>
        </w:rPr>
        <w:t>以大语言模型为核心，融合自然语言处理、知识图谱、机器学习等技术，实现了智能咨询、智能导办、智能审批等政务服务典型应用场景。同时，运用物联网技术，实现了政务大厅设备的智能化监控和管理。通过数据挖掘和分析技术，采集整合了涵盖办事指南、政策文件、审批流程、用户咨询记录等多维数据，支撑系统高效运行。</w:t>
      </w:r>
      <w:r>
        <w:rPr>
          <w:rFonts w:hint="eastAsia" w:ascii="仿宋_GB2312" w:hAnsi="Times New Roman" w:eastAsia="仿宋_GB2312"/>
          <w:bCs/>
          <w:color w:val="000000"/>
          <w:sz w:val="32"/>
          <w:szCs w:val="32"/>
        </w:rPr>
        <w:t>“</w:t>
      </w:r>
      <w:r>
        <w:rPr>
          <w:rFonts w:ascii="Times New Roman" w:eastAsia="仿宋_GB2312"/>
          <w:bCs/>
          <w:color w:val="000000"/>
          <w:sz w:val="32"/>
          <w:szCs w:val="32"/>
        </w:rPr>
        <w:t>郴小</w:t>
      </w:r>
      <w:r>
        <w:rPr>
          <w:rFonts w:ascii="Times New Roman" w:hAnsi="Times New Roman" w:eastAsia="仿宋_GB2312"/>
          <w:bCs/>
          <w:color w:val="000000"/>
          <w:sz w:val="32"/>
          <w:szCs w:val="32"/>
        </w:rPr>
        <w:t>AI</w:t>
      </w:r>
      <w:r>
        <w:rPr>
          <w:rFonts w:hint="eastAsia" w:ascii="仿宋_GB2312" w:hAnsi="Times New Roman" w:eastAsia="仿宋_GB2312"/>
          <w:bCs/>
          <w:color w:val="000000"/>
          <w:sz w:val="32"/>
          <w:szCs w:val="32"/>
        </w:rPr>
        <w:t>”</w:t>
      </w:r>
      <w:r>
        <w:rPr>
          <w:rFonts w:ascii="Times New Roman" w:eastAsia="仿宋_GB2312"/>
          <w:bCs/>
          <w:color w:val="000000"/>
          <w:sz w:val="32"/>
          <w:szCs w:val="32"/>
        </w:rPr>
        <w:t>智能体上线后，线下在政务大厅智能引导办事群众，平均停留时间缩短</w:t>
      </w:r>
      <w:r>
        <w:rPr>
          <w:rFonts w:ascii="Times New Roman" w:hAnsi="Times New Roman" w:eastAsia="仿宋_GB2312"/>
          <w:bCs/>
          <w:color w:val="000000"/>
          <w:sz w:val="32"/>
          <w:szCs w:val="32"/>
        </w:rPr>
        <w:t>40%</w:t>
      </w:r>
      <w:r>
        <w:rPr>
          <w:rFonts w:ascii="Times New Roman" w:eastAsia="仿宋_GB2312"/>
          <w:bCs/>
          <w:color w:val="000000"/>
          <w:sz w:val="32"/>
          <w:szCs w:val="32"/>
        </w:rPr>
        <w:t>；线上通过政务网站等渠道提供</w:t>
      </w:r>
      <w:r>
        <w:rPr>
          <w:rFonts w:ascii="Times New Roman" w:hAnsi="Times New Roman" w:eastAsia="仿宋_GB2312"/>
          <w:bCs/>
          <w:color w:val="000000"/>
          <w:sz w:val="32"/>
          <w:szCs w:val="32"/>
        </w:rPr>
        <w:t>24</w:t>
      </w:r>
      <w:r>
        <w:rPr>
          <w:rFonts w:ascii="Times New Roman" w:eastAsia="仿宋_GB2312"/>
          <w:bCs/>
          <w:color w:val="000000"/>
          <w:sz w:val="32"/>
          <w:szCs w:val="32"/>
        </w:rPr>
        <w:t>小时智能咨询与部分业务在线办理，问答准确率超过</w:t>
      </w:r>
      <w:r>
        <w:rPr>
          <w:rFonts w:ascii="Times New Roman" w:hAnsi="Times New Roman" w:eastAsia="仿宋_GB2312"/>
          <w:bCs/>
          <w:color w:val="000000"/>
          <w:sz w:val="32"/>
          <w:szCs w:val="32"/>
        </w:rPr>
        <w:t>90%</w:t>
      </w:r>
      <w:r>
        <w:rPr>
          <w:rFonts w:ascii="Times New Roman" w:eastAsia="仿宋_GB2312"/>
          <w:bCs/>
          <w:color w:val="000000"/>
          <w:sz w:val="32"/>
          <w:szCs w:val="32"/>
        </w:rPr>
        <w:t>，显著提升政务服务的智能化水平。</w:t>
      </w:r>
    </w:p>
    <w:p w14:paraId="5436B207">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推广价值：</w:t>
      </w:r>
      <w:r>
        <w:rPr>
          <w:rFonts w:asci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政务</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领域的典型场景，构建了</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智能感知</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精准服务</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科学决策</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的智慧政务新模式，有效解决了政务服务效率不高、智能化水平不足等问题，为提升政府治理能力、优化营商环境提供了可复制、可推广的</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湖南经验</w:t>
      </w:r>
      <w:r>
        <w:rPr>
          <w:rFonts w:hint="eastAsia" w:ascii="仿宋_GB2312" w:hAnsi="Times New Roman" w:eastAsia="仿宋_GB2312"/>
          <w:bCs/>
          <w:color w:val="000000"/>
          <w:kern w:val="0"/>
          <w:sz w:val="32"/>
          <w:szCs w:val="32"/>
        </w:rPr>
        <w:t>”</w:t>
      </w:r>
      <w:r>
        <w:rPr>
          <w:rFonts w:ascii="Times New Roman" w:eastAsia="仿宋_GB2312"/>
          <w:bCs/>
          <w:color w:val="000000"/>
          <w:kern w:val="0"/>
          <w:sz w:val="32"/>
          <w:szCs w:val="32"/>
        </w:rPr>
        <w:t>。</w:t>
      </w:r>
    </w:p>
    <w:p w14:paraId="2E764208">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eastAsia="黑体"/>
          <w:bCs/>
          <w:color w:val="000000"/>
          <w:sz w:val="32"/>
          <w:szCs w:val="32"/>
        </w:rPr>
        <w:t>六、商用车封闭场景</w:t>
      </w:r>
      <w:r>
        <w:rPr>
          <w:rFonts w:ascii="Times New Roman" w:hAnsi="Times New Roman" w:eastAsia="黑体"/>
          <w:bCs/>
          <w:color w:val="000000"/>
          <w:sz w:val="32"/>
          <w:szCs w:val="32"/>
        </w:rPr>
        <w:t>L4</w:t>
      </w:r>
      <w:r>
        <w:rPr>
          <w:rFonts w:ascii="Times New Roman" w:eastAsia="黑体"/>
          <w:bCs/>
          <w:color w:val="000000"/>
          <w:sz w:val="32"/>
          <w:szCs w:val="32"/>
        </w:rPr>
        <w:t>级自动驾驶（</w:t>
      </w:r>
      <w:r>
        <w:rPr>
          <w:rFonts w:ascii="Times New Roman" w:hAnsi="Times New Roman" w:eastAsia="黑体"/>
          <w:bCs/>
          <w:color w:val="000000"/>
          <w:sz w:val="32"/>
          <w:szCs w:val="32"/>
        </w:rPr>
        <w:t>AI+</w:t>
      </w:r>
      <w:r>
        <w:rPr>
          <w:rFonts w:ascii="Times New Roman" w:eastAsia="黑体"/>
          <w:bCs/>
          <w:color w:val="000000"/>
          <w:sz w:val="32"/>
          <w:szCs w:val="32"/>
        </w:rPr>
        <w:t>交通）</w:t>
      </w:r>
    </w:p>
    <w:p w14:paraId="1AA1F5E2">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eastAsia="楷体_GB2312"/>
          <w:bCs/>
          <w:color w:val="000000"/>
          <w:sz w:val="32"/>
          <w:szCs w:val="32"/>
        </w:rPr>
        <w:t>场景描述：</w:t>
      </w:r>
      <w:r>
        <w:rPr>
          <w:rFonts w:ascii="Times New Roman" w:eastAsia="仿宋_GB2312"/>
          <w:bCs/>
          <w:color w:val="000000"/>
          <w:kern w:val="0"/>
          <w:sz w:val="32"/>
          <w:szCs w:val="32"/>
        </w:rPr>
        <w:t>针对矿区、园区等封闭场景中存在的驾驶安全风险大、驾驶员人力成本高、燃料成本优化难等问题，通过综合运用全栈自动驾驶、车路协同（</w:t>
      </w:r>
      <w:r>
        <w:rPr>
          <w:rFonts w:ascii="Times New Roman" w:hAnsi="Times New Roman" w:eastAsia="仿宋_GB2312"/>
          <w:bCs/>
          <w:color w:val="000000"/>
          <w:kern w:val="0"/>
          <w:sz w:val="32"/>
          <w:szCs w:val="32"/>
        </w:rPr>
        <w:t>V2X</w:t>
      </w:r>
      <w:r>
        <w:rPr>
          <w:rFonts w:ascii="Times New Roman" w:eastAsia="仿宋_GB2312"/>
          <w:bCs/>
          <w:color w:val="000000"/>
          <w:kern w:val="0"/>
          <w:sz w:val="32"/>
          <w:szCs w:val="32"/>
        </w:rPr>
        <w:t>）、智能调度管理等车路云一体化技术，实现了超视距感知、无人</w:t>
      </w:r>
      <w:r>
        <w:rPr>
          <w:rFonts w:ascii="Times New Roman" w:hAnsi="Times New Roman" w:eastAsia="仿宋_GB2312"/>
          <w:bCs/>
          <w:color w:val="000000"/>
          <w:kern w:val="0"/>
          <w:sz w:val="32"/>
          <w:szCs w:val="32"/>
        </w:rPr>
        <w:t>/</w:t>
      </w:r>
      <w:r>
        <w:rPr>
          <w:rFonts w:ascii="Times New Roman" w:eastAsia="仿宋_GB2312"/>
          <w:bCs/>
          <w:color w:val="000000"/>
          <w:kern w:val="0"/>
          <w:sz w:val="32"/>
          <w:szCs w:val="32"/>
        </w:rPr>
        <w:t>有人车辆混合协同作业、</w:t>
      </w:r>
      <w:r>
        <w:rPr>
          <w:rFonts w:ascii="Times New Roman" w:hAnsi="Times New Roman" w:eastAsia="仿宋_GB2312"/>
          <w:bCs/>
          <w:color w:val="000000"/>
          <w:kern w:val="0"/>
          <w:sz w:val="32"/>
          <w:szCs w:val="32"/>
        </w:rPr>
        <w:t>AI</w:t>
      </w:r>
      <w:r>
        <w:rPr>
          <w:rFonts w:ascii="Times New Roman" w:eastAsia="仿宋_GB2312"/>
          <w:bCs/>
          <w:color w:val="000000"/>
          <w:kern w:val="0"/>
          <w:sz w:val="32"/>
          <w:szCs w:val="32"/>
        </w:rPr>
        <w:t>全局调度与全程安全监控等系列能力，有效提升车辆融合感知、导航定位、智能交互、协同决策等能力，保障了无人运输作业的安全、高效与绿色低碳，推动封闭场景下的规模化商用落地。</w:t>
      </w:r>
    </w:p>
    <w:p w14:paraId="253F4C07">
      <w:pPr>
        <w:pStyle w:val="6"/>
        <w:adjustRightInd w:val="0"/>
        <w:snapToGrid w:val="0"/>
        <w:spacing w:after="0" w:line="600" w:lineRule="exact"/>
        <w:ind w:left="0" w:leftChars="0"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示范应用：</w:t>
      </w:r>
      <w:r>
        <w:rPr>
          <w:rFonts w:ascii="Times New Roman" w:hAnsi="Times New Roman" w:eastAsia="仿宋_GB2312"/>
          <w:bCs/>
          <w:color w:val="000000"/>
          <w:kern w:val="0"/>
          <w:sz w:val="32"/>
          <w:szCs w:val="32"/>
        </w:rPr>
        <w:t>希迪智驾自动驾驶商用车项目</w:t>
      </w:r>
      <w:r>
        <w:rPr>
          <w:rFonts w:hint="eastAsia" w:ascii="Times New Roman" w:hAnsi="Times New Roman" w:eastAsia="仿宋_GB2312"/>
          <w:bCs/>
          <w:color w:val="000000"/>
          <w:kern w:val="0"/>
          <w:sz w:val="32"/>
          <w:szCs w:val="32"/>
        </w:rPr>
        <w:t>——</w:t>
      </w:r>
      <w:r>
        <w:rPr>
          <w:rFonts w:ascii="Times New Roman" w:hAnsi="Times New Roman" w:eastAsia="仿宋_GB2312"/>
          <w:bCs/>
          <w:color w:val="000000"/>
          <w:kern w:val="0"/>
          <w:sz w:val="32"/>
          <w:szCs w:val="32"/>
        </w:rPr>
        <w:t>湖南省首个面向矿区等封闭场景实现规模化商用的L4级自动驾驶解决方案。该项目依托多传感器融合感知、智能决策算法、多智能体协同及高精度场景仿真等核心能力，精准识别可行驶区域，支持多车协同、自主路径规划，并自动完成装载、运输、卸载与泊车等全流程操作，实现了商用车在矿区、园区等封闭场景下的全天候无人作业。实测数据显示，该方案可帮助物流车队降低人力成本约40%，提升运输效率25%，减少燃油消耗15%，在显著提升经济效益的同时，大幅增强了矿区、园区等封闭场景下的运输安全与运行效能。</w:t>
      </w:r>
    </w:p>
    <w:p w14:paraId="641E83AA">
      <w:pPr>
        <w:pStyle w:val="6"/>
        <w:adjustRightInd w:val="0"/>
        <w:snapToGrid w:val="0"/>
        <w:spacing w:after="0" w:line="600" w:lineRule="exact"/>
        <w:ind w:left="0" w:leftChars="0"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推广价值：</w:t>
      </w:r>
      <w:r>
        <w:rPr>
          <w:rFonts w:ascii="Times New Roman" w:hAns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AI+交通</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领域的典型场景，有效解决了矿区、园区等封闭场景下运输效率与安全管理协同优化的核心问题，其技术架构与商业模式具备高度可复制性，为行业提供了可推广的解决方案。</w:t>
      </w:r>
    </w:p>
    <w:p w14:paraId="54035FE6">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七、AI辅助基层诊疗（AI+医疗）</w:t>
      </w:r>
    </w:p>
    <w:p w14:paraId="679F2C02">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kern w:val="0"/>
          <w:sz w:val="32"/>
          <w:szCs w:val="32"/>
        </w:rPr>
        <w:t>针对基层医疗卫生机构面临的诊疗能力不均、优质医疗资源匮乏、疾病筛查效率低、慢性病管理难等主要痛点，通过临床知识图谱、自然语言处理、多模态医学AI等关键技术，构建症状智能问诊、辅助诊断推荐、治疗方案生成等典型应用场景，推动基层医疗服务均衡、流程规范和管理精准。</w:t>
      </w:r>
    </w:p>
    <w:p w14:paraId="6E4D4DA0">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示范应用：</w:t>
      </w:r>
      <w:r>
        <w:rPr>
          <w:rFonts w:ascii="Times New Roman" w:hAnsi="Times New Roman" w:eastAsia="仿宋_GB2312"/>
          <w:bCs/>
          <w:color w:val="000000"/>
          <w:kern w:val="0"/>
          <w:sz w:val="32"/>
          <w:szCs w:val="32"/>
        </w:rPr>
        <w:t>省卫生健康委</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智医助理</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基层人工智能辅助诊疗系统</w:t>
      </w:r>
      <w:r>
        <w:rPr>
          <w:rFonts w:hint="eastAsia" w:ascii="Times New Roman" w:hAnsi="Times New Roman" w:eastAsia="仿宋_GB2312"/>
          <w:bCs/>
          <w:color w:val="000000"/>
          <w:kern w:val="0"/>
          <w:sz w:val="32"/>
          <w:szCs w:val="32"/>
        </w:rPr>
        <w:t>——</w:t>
      </w:r>
      <w:r>
        <w:rPr>
          <w:rFonts w:ascii="Times New Roman" w:hAnsi="Times New Roman" w:eastAsia="仿宋_GB2312"/>
          <w:bCs/>
          <w:color w:val="000000"/>
          <w:kern w:val="0"/>
          <w:sz w:val="32"/>
          <w:szCs w:val="32"/>
        </w:rPr>
        <w:t>全省首个医疗领域的人工智能辅助诊疗系统。系统深度融合临床知识图谱、自然语言处理、多模态医学AI、智能决策支持等多项技术，构建症状智能问诊、辅助诊断推荐、检查意义解读、治疗方案建议、慢病风险预警等智能化诊疗典型场景，全面赋能基层医疗。目前，系统已覆盖了全省多家基层医疗机构，支持200余种常见病、多发病的诊断建议，诊断准确率达到90%以上，日均提供辅助诊断服务超10000次，累计修正诊断6.1万余份，识别不合理处方363万例，显著提升了基层医疗服务质量，有效缓解了基层医疗资源不足的问题。</w:t>
      </w:r>
    </w:p>
    <w:p w14:paraId="6C3FB02D">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推广价值：</w:t>
      </w:r>
      <w:r>
        <w:rPr>
          <w:rFonts w:ascii="Times New Roman" w:hAns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AI+医疗</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领域的典型场景，其构建的智能辅助诊疗系统围绕人工智能技术在基层医疗场景的应用展开深度探索与实践，有效助力基层医疗机构提升诊疗服务能力、优化服务质量、提高服务效率，为基层医疗服务水平升级提供了切实可行的路径。 ‌</w:t>
      </w:r>
    </w:p>
    <w:p w14:paraId="1A56031D">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八、电网全地域智能巡检运维（AI+无人巡检）</w:t>
      </w:r>
    </w:p>
    <w:p w14:paraId="296BE165">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kern w:val="0"/>
          <w:sz w:val="32"/>
          <w:szCs w:val="32"/>
        </w:rPr>
        <w:t>针对电网线路分布广、环境复杂，传统人工运维模式难以满足电网高可靠性要求，综合运用人工智能大模型、北斗、无人智能装备等技术和装备，构建电网设备自主巡视、设备运行实时可视、飞行数据智能分析等典型场景，实现输配电线路无人机巡视自主飞行、实时回传、智能判断，有效提升电网巡检效能与安全性，保障电网稳定运行。</w:t>
      </w:r>
    </w:p>
    <w:p w14:paraId="418B6869">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示范应用：</w:t>
      </w:r>
      <w:r>
        <w:rPr>
          <w:rFonts w:ascii="Times New Roman" w:hAnsi="Times New Roman" w:eastAsia="仿宋_GB2312"/>
          <w:bCs/>
          <w:color w:val="000000"/>
          <w:kern w:val="0"/>
          <w:sz w:val="32"/>
          <w:szCs w:val="32"/>
        </w:rPr>
        <w:t>国网湖南电力</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全地域5G+北斗无人机智能巡检车</w:t>
      </w:r>
      <w:r>
        <w:rPr>
          <w:rFonts w:hint="eastAsia" w:ascii="仿宋_GB2312" w:hAnsi="Times New Roman" w:eastAsia="仿宋_GB2312"/>
          <w:bCs/>
          <w:color w:val="000000"/>
          <w:kern w:val="0"/>
          <w:sz w:val="32"/>
          <w:szCs w:val="32"/>
        </w:rPr>
        <w:t>”</w:t>
      </w:r>
      <w:r>
        <w:rPr>
          <w:rFonts w:hint="eastAsia" w:ascii="Times New Roman" w:hAnsi="Times New Roman" w:eastAsia="仿宋_GB2312"/>
          <w:bCs/>
          <w:color w:val="000000"/>
          <w:kern w:val="0"/>
          <w:sz w:val="32"/>
          <w:szCs w:val="32"/>
        </w:rPr>
        <w:t>——</w:t>
      </w:r>
      <w:r>
        <w:rPr>
          <w:rFonts w:ascii="Times New Roman" w:hAnsi="Times New Roman" w:eastAsia="仿宋_GB2312"/>
          <w:bCs/>
          <w:color w:val="000000"/>
          <w:kern w:val="0"/>
          <w:sz w:val="32"/>
          <w:szCs w:val="32"/>
        </w:rPr>
        <w:t>2024年度中电联职工创新创意大赛二等奖。巡检车集成人工智能大模型技术、北斗星基信号装置等，满足巡检无人机在无</w:t>
      </w:r>
      <w:r>
        <w:rPr>
          <w:rFonts w:hint="eastAsia" w:ascii="Times New Roman" w:hAnsi="Times New Roman" w:eastAsia="仿宋_GB2312"/>
          <w:bCs/>
          <w:color w:val="000000"/>
          <w:kern w:val="0"/>
          <w:sz w:val="32"/>
          <w:szCs w:val="32"/>
        </w:rPr>
        <w:t>信号、</w:t>
      </w:r>
      <w:r>
        <w:rPr>
          <w:rFonts w:ascii="Times New Roman" w:hAnsi="Times New Roman" w:eastAsia="仿宋_GB2312"/>
          <w:bCs/>
          <w:color w:val="000000"/>
          <w:kern w:val="0"/>
          <w:sz w:val="32"/>
          <w:szCs w:val="32"/>
        </w:rPr>
        <w:t>弱信号区域自主飞行和精准降落等需求，为无人机在无</w:t>
      </w:r>
      <w:r>
        <w:rPr>
          <w:rFonts w:hint="eastAsia" w:ascii="Times New Roman" w:hAnsi="Times New Roman" w:eastAsia="仿宋_GB2312"/>
          <w:bCs/>
          <w:color w:val="000000"/>
          <w:kern w:val="0"/>
          <w:sz w:val="32"/>
          <w:szCs w:val="32"/>
        </w:rPr>
        <w:t>信号、</w:t>
      </w:r>
      <w:r>
        <w:rPr>
          <w:rFonts w:ascii="Times New Roman" w:hAnsi="Times New Roman" w:eastAsia="仿宋_GB2312"/>
          <w:bCs/>
          <w:color w:val="000000"/>
          <w:kern w:val="0"/>
          <w:sz w:val="32"/>
          <w:szCs w:val="32"/>
        </w:rPr>
        <w:t>弱信号区域等复杂环境下作业提供坚实保障。巡检车最高支持9台无人机多机协同作业，并与国网湖南电力现有的光明大模型实现了集成。系统累计研发了19大类、109小类设备模型，标注了有效样本1000余万张，实现电网设备缺陷平均识别率达到87%，提升巡检效率3.4倍。2024年至今，国网湖南电力利用人工智能巡检技术累计巡检杆塔97万基，及时发现并处置缺陷隐患14万处，为湖南经济社会发展和民生保障提供了更加可靠的电力支撑。</w:t>
      </w:r>
    </w:p>
    <w:p w14:paraId="6D9BC118">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推广价值：</w:t>
      </w:r>
      <w:r>
        <w:rPr>
          <w:rFonts w:ascii="Times New Roman" w:hAns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AI+无人巡检</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领域的典型场景，其打造的无人机智能巡检模式，打破了传统电网运维模式局限性，解决了电力保供等核心难题，对省内乃至全国光伏、风能等新能源行业具备重大借鉴和推广价值。</w:t>
      </w:r>
    </w:p>
    <w:p w14:paraId="5729CC7D">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九、实景三维智能匹配融合应用（AI+自然资源）</w:t>
      </w:r>
    </w:p>
    <w:p w14:paraId="32226387">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kern w:val="0"/>
          <w:sz w:val="32"/>
          <w:szCs w:val="32"/>
        </w:rPr>
        <w:t>面对企业投资选址过程中资源信息分散、匹配效率低、决策成本高等痛点，聚焦人工智能大模型与实景三维融合技术，构建覆盖土地、矿产等多类自然资源要素的智能匹配与推介系统，有效解决传统资源对接依赖人工、周期长、透明度不足等问题，为政府招商和企业投资提供高效、精准、透明的</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数字导航</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w:t>
      </w:r>
    </w:p>
    <w:p w14:paraId="53AFEFD7">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示范应用：</w:t>
      </w:r>
      <w:r>
        <w:rPr>
          <w:rFonts w:ascii="Times New Roman" w:hAnsi="Times New Roman" w:eastAsia="仿宋_GB2312"/>
          <w:bCs/>
          <w:color w:val="000000"/>
          <w:kern w:val="0"/>
          <w:sz w:val="32"/>
          <w:szCs w:val="32"/>
        </w:rPr>
        <w:t>省自然资源厅</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AI智能推介+实景三维</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全要素市场平台</w:t>
      </w:r>
      <w:r>
        <w:rPr>
          <w:rFonts w:hint="eastAsia" w:ascii="Times New Roman" w:hAnsi="Times New Roman" w:eastAsia="仿宋_GB2312"/>
          <w:bCs/>
          <w:color w:val="000000"/>
          <w:kern w:val="0"/>
          <w:sz w:val="32"/>
          <w:szCs w:val="32"/>
        </w:rPr>
        <w:t>——</w:t>
      </w:r>
      <w:r>
        <w:rPr>
          <w:rFonts w:ascii="Times New Roman" w:hAnsi="Times New Roman" w:eastAsia="仿宋_GB2312"/>
          <w:bCs/>
          <w:color w:val="000000"/>
          <w:kern w:val="0"/>
          <w:sz w:val="32"/>
          <w:szCs w:val="32"/>
        </w:rPr>
        <w:t>全国首个实现自然资源全要素智能匹配与实景三维融合应用的省级平台。平台以AI大模型为核心，依托实景三维与720度全景技术，实现资源在线可视化勘察，通过智能分析规划条件、周边配套、征拆成本等指标，为企业提供科学选址与降本方案，平台支持语音及多模态输入，可智能解析用户需求，并实现了与全省近5000宗资源数据的对接。平台运行以来，已促成资源成交1000余宗，成交总金额超300亿元，帮助企业降低选址成本60%以上，缩短项目落地周期40%，真正实现了从</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人找资源</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到</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资源找人</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的智能转变。</w:t>
      </w:r>
    </w:p>
    <w:p w14:paraId="1840E1A8">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推广价值：</w:t>
      </w:r>
      <w:r>
        <w:rPr>
          <w:rFonts w:ascii="Times New Roman" w:hAns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AI+自然资源</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领域的典型场景，有效提升了自然资源配置效率与政府招商透明度。其可扩展、可复制的平台架构与数据标准，为全国自然资源要素市场化改革提供了成熟的</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湖南样板</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，对加速要素市场化配置、促进数字经济与实体经济深度融合具有重要示范意义。</w:t>
      </w:r>
    </w:p>
    <w:p w14:paraId="0AEB2341">
      <w:pPr>
        <w:adjustRightInd w:val="0"/>
        <w:snapToGrid w:val="0"/>
        <w:spacing w:line="60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十、</w:t>
      </w:r>
      <w:r>
        <w:rPr>
          <w:rFonts w:hint="eastAsia" w:ascii="仿宋_GB2312" w:hAnsi="Times New Roman" w:eastAsia="仿宋_GB2312"/>
          <w:bCs/>
          <w:color w:val="000000"/>
          <w:sz w:val="32"/>
          <w:szCs w:val="32"/>
        </w:rPr>
        <w:t>“</w:t>
      </w:r>
      <w:r>
        <w:rPr>
          <w:rFonts w:ascii="Times New Roman" w:hAnsi="Times New Roman" w:eastAsia="黑体"/>
          <w:bCs/>
          <w:color w:val="000000"/>
          <w:sz w:val="32"/>
          <w:szCs w:val="32"/>
        </w:rPr>
        <w:t>空天地</w:t>
      </w:r>
      <w:r>
        <w:rPr>
          <w:rFonts w:hint="eastAsia" w:ascii="仿宋_GB2312" w:hAnsi="Times New Roman" w:eastAsia="仿宋_GB2312"/>
          <w:bCs/>
          <w:color w:val="000000"/>
          <w:sz w:val="32"/>
          <w:szCs w:val="32"/>
        </w:rPr>
        <w:t>”</w:t>
      </w:r>
      <w:r>
        <w:rPr>
          <w:rFonts w:ascii="Times New Roman" w:hAnsi="Times New Roman" w:eastAsia="黑体"/>
          <w:bCs/>
          <w:color w:val="000000"/>
          <w:sz w:val="32"/>
          <w:szCs w:val="32"/>
        </w:rPr>
        <w:t>一体化防汛应急系统（AI+低空经济）</w:t>
      </w:r>
    </w:p>
    <w:p w14:paraId="24D30867">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kern w:val="0"/>
          <w:sz w:val="32"/>
          <w:szCs w:val="32"/>
        </w:rPr>
        <w:t>针对城市洪涝、地质灾害防御过程中面临的监测范围广、险情发现迟、应急响应慢等业务难点，综合运用</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AI+低空</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技术，依托智能无人机、智联网、多模态AI分析等关键技术，构建</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空天地</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一体化感知、险情智能识别预警、抢险力量协同调度等防汛救灾典型应用场景，实现防汛工作智能化、精准化、无人化。</w:t>
      </w:r>
    </w:p>
    <w:p w14:paraId="4D754224">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示范应用：</w:t>
      </w:r>
      <w:r>
        <w:rPr>
          <w:rFonts w:ascii="Times New Roman" w:hAnsi="Times New Roman" w:eastAsia="仿宋_GB2312"/>
          <w:bCs/>
          <w:color w:val="000000"/>
          <w:kern w:val="0"/>
          <w:sz w:val="32"/>
          <w:szCs w:val="32"/>
        </w:rPr>
        <w:t>湘潭市防汛智慧无人机应用平台</w:t>
      </w:r>
      <w:r>
        <w:rPr>
          <w:rFonts w:hint="eastAsia" w:ascii="Times New Roman" w:hAnsi="Times New Roman" w:eastAsia="仿宋_GB2312"/>
          <w:bCs/>
          <w:color w:val="000000"/>
          <w:kern w:val="0"/>
          <w:sz w:val="32"/>
          <w:szCs w:val="32"/>
        </w:rPr>
        <w:t>——</w:t>
      </w:r>
      <w:r>
        <w:rPr>
          <w:rFonts w:ascii="Times New Roman" w:hAnsi="Times New Roman" w:eastAsia="仿宋_GB2312"/>
          <w:bCs/>
          <w:color w:val="000000"/>
          <w:kern w:val="0"/>
          <w:sz w:val="32"/>
          <w:szCs w:val="32"/>
        </w:rPr>
        <w:t>全省首个深度融合人工智能与低空技术的智能化防汛应急系统，构建了</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空天地</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一体化的立体防汛监测预警体系。系统集成了多型号无人机集群、AI识别算法与智慧指挥系统，可实现无人机巡检任务自动规划、实时回传，对河道水位、堤防渗漏、滑坡等险情进行自动识别与智能分析，实现从汛情巡查、险情识别、应急响应的全流程智能化管理。系统搭载的红外热像仪，使其具备了夜间及恶劣天气下的持续作业能力。应用以来，险情发现效率提升80%以上。在2024年汛期强降雨中，累计发现上报险情27处，自动生成处置建议13项，为防汛指挥提供了关键技术支持，最大限度保障了人民生命财产安全。</w:t>
      </w:r>
    </w:p>
    <w:p w14:paraId="53FE4EEE">
      <w:pPr>
        <w:adjustRightInd w:val="0"/>
        <w:snapToGrid w:val="0"/>
        <w:spacing w:line="600" w:lineRule="exact"/>
        <w:ind w:firstLine="640" w:firstLineChars="200"/>
        <w:rPr>
          <w:rFonts w:ascii="Times New Roman" w:hAnsi="Times New Roman" w:eastAsia="仿宋_GB2312"/>
          <w:bCs/>
          <w:color w:val="000000"/>
          <w:kern w:val="0"/>
          <w:sz w:val="32"/>
          <w:szCs w:val="32"/>
        </w:rPr>
      </w:pPr>
      <w:r>
        <w:rPr>
          <w:rFonts w:ascii="Times New Roman" w:hAnsi="Times New Roman" w:eastAsia="楷体_GB2312"/>
          <w:bCs/>
          <w:color w:val="000000"/>
          <w:sz w:val="32"/>
          <w:szCs w:val="32"/>
        </w:rPr>
        <w:t>推广价值：</w:t>
      </w:r>
      <w:r>
        <w:rPr>
          <w:rFonts w:ascii="Times New Roman" w:hAnsi="Times New Roman" w:eastAsia="仿宋_GB2312"/>
          <w:bCs/>
          <w:color w:val="000000"/>
          <w:kern w:val="0"/>
          <w:sz w:val="32"/>
          <w:szCs w:val="32"/>
        </w:rPr>
        <w:t>该项目是我省</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AI+低空</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领域的典型场景，平台建立的</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智能感知—AI研判—快速响应</w:t>
      </w:r>
      <w:r>
        <w:rPr>
          <w:rFonts w:hint="eastAsia" w:ascii="仿宋_GB2312" w:hAnsi="Times New Roman" w:eastAsia="仿宋_GB2312"/>
          <w:bCs/>
          <w:color w:val="000000"/>
          <w:kern w:val="0"/>
          <w:sz w:val="32"/>
          <w:szCs w:val="32"/>
        </w:rPr>
        <w:t>”</w:t>
      </w:r>
      <w:r>
        <w:rPr>
          <w:rFonts w:ascii="Times New Roman" w:hAnsi="Times New Roman" w:eastAsia="仿宋_GB2312"/>
          <w:bCs/>
          <w:color w:val="000000"/>
          <w:kern w:val="0"/>
          <w:sz w:val="32"/>
          <w:szCs w:val="32"/>
        </w:rPr>
        <w:t>闭环管理机制，显著提升了洪涝灾害防控的精准性、实时性与安全性，为低空经济与智慧应急融合发展提供了重要实践样板。</w:t>
      </w:r>
    </w:p>
    <w:p w14:paraId="771F29C3">
      <w:pPr>
        <w:adjustRightInd w:val="0"/>
        <w:snapToGrid w:val="0"/>
        <w:spacing w:line="600" w:lineRule="exact"/>
        <w:rPr>
          <w:rFonts w:ascii="Times New Roman" w:hAnsi="Times New Roman" w:eastAsia="仿宋_GB2312"/>
          <w:bCs/>
          <w:color w:val="000000"/>
          <w:sz w:val="32"/>
          <w:szCs w:val="32"/>
        </w:rPr>
      </w:pPr>
      <w:r>
        <w:rPr>
          <w:rFonts w:ascii="Times New Roman" w:hAnsi="Times New Roman" w:eastAsia="仿宋_GB2312"/>
          <w:bCs/>
          <w:color w:val="000000"/>
          <w:kern w:val="0"/>
          <w:sz w:val="32"/>
          <w:szCs w:val="32"/>
        </w:rPr>
        <w:br w:type="page"/>
      </w:r>
      <w:r>
        <w:rPr>
          <w:rFonts w:ascii="Times New Roman" w:hAnsi="Times New Roman" w:eastAsia="黑体"/>
          <w:bCs/>
          <w:color w:val="000000"/>
          <w:sz w:val="32"/>
          <w:szCs w:val="32"/>
        </w:rPr>
        <w:t>附件</w:t>
      </w:r>
      <w:r>
        <w:rPr>
          <w:rFonts w:ascii="Times New Roman" w:hAnsi="Times New Roman" w:eastAsia="仿宋_GB2312"/>
          <w:bCs/>
          <w:color w:val="000000"/>
          <w:sz w:val="32"/>
          <w:szCs w:val="32"/>
        </w:rPr>
        <w:t>3</w:t>
      </w:r>
    </w:p>
    <w:p w14:paraId="53D371CD">
      <w:pPr>
        <w:snapToGrid w:val="0"/>
        <w:spacing w:line="600" w:lineRule="exact"/>
        <w:rPr>
          <w:rFonts w:ascii="Times New Roman" w:hAnsi="Times New Roman" w:eastAsia="方正小标宋简体"/>
          <w:bCs/>
          <w:color w:val="000000"/>
          <w:sz w:val="32"/>
          <w:szCs w:val="32"/>
        </w:rPr>
      </w:pPr>
    </w:p>
    <w:p w14:paraId="2230FEB1">
      <w:pPr>
        <w:snapToGrid w:val="0"/>
        <w:spacing w:line="600" w:lineRule="exact"/>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湖南省</w:t>
      </w:r>
      <w:r>
        <w:rPr>
          <w:rFonts w:hint="eastAsia" w:ascii="仿宋_GB2312" w:hAnsi="Times New Roman" w:eastAsia="仿宋_GB2312"/>
          <w:bCs/>
          <w:color w:val="000000"/>
          <w:kern w:val="0"/>
          <w:sz w:val="44"/>
          <w:szCs w:val="44"/>
        </w:rPr>
        <w:t>“</w:t>
      </w:r>
      <w:r>
        <w:rPr>
          <w:rFonts w:ascii="Times New Roman" w:hAnsi="Times New Roman" w:eastAsia="方正小标宋简体"/>
          <w:bCs/>
          <w:color w:val="000000"/>
          <w:kern w:val="0"/>
          <w:sz w:val="44"/>
          <w:szCs w:val="44"/>
        </w:rPr>
        <w:t>人工智能+</w:t>
      </w:r>
      <w:r>
        <w:rPr>
          <w:rFonts w:hint="eastAsia" w:ascii="仿宋_GB2312" w:hAnsi="Times New Roman" w:eastAsia="仿宋_GB2312"/>
          <w:bCs/>
          <w:color w:val="000000"/>
          <w:kern w:val="0"/>
          <w:sz w:val="44"/>
          <w:szCs w:val="44"/>
        </w:rPr>
        <w:t>”</w:t>
      </w:r>
      <w:r>
        <w:rPr>
          <w:rFonts w:ascii="Times New Roman" w:hAnsi="Times New Roman" w:eastAsia="方正小标宋简体"/>
          <w:bCs/>
          <w:color w:val="000000"/>
          <w:kern w:val="0"/>
          <w:sz w:val="44"/>
          <w:szCs w:val="44"/>
        </w:rPr>
        <w:t>十大未来场景</w:t>
      </w:r>
    </w:p>
    <w:p w14:paraId="2B62C694">
      <w:pPr>
        <w:snapToGrid w:val="0"/>
        <w:spacing w:line="600" w:lineRule="exact"/>
        <w:ind w:firstLine="640" w:firstLineChars="200"/>
        <w:rPr>
          <w:rFonts w:ascii="Times New Roman" w:hAnsi="Times New Roman" w:eastAsia="黑体"/>
          <w:bCs/>
          <w:color w:val="000000"/>
          <w:sz w:val="32"/>
          <w:szCs w:val="32"/>
        </w:rPr>
      </w:pPr>
    </w:p>
    <w:p w14:paraId="0C564082">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一、人工智能驱动的基础研究新范式</w:t>
      </w:r>
    </w:p>
    <w:p w14:paraId="56CF5F9C">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加快建设科学研究高地，围绕脑科学、神经康复、量子科技、基因编辑等前沿领域，打造开放共享的高质量科学数据集，充分发挥人工智能技术在知识抽取、仿真建模、实验预测、结果分析等方面作用，驱动技术研发模式创新，不断提升跨模态复杂科学数据处理水平，加速重大科学</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从0到1</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发现进程和</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从1到N</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技术落地、迭代突破，推动基础研究范式变革和能力提升。</w:t>
      </w:r>
    </w:p>
    <w:p w14:paraId="6D8100E7">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二、基于垂类大模型的柔性生产制造</w:t>
      </w:r>
    </w:p>
    <w:p w14:paraId="1FD5DBF7">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为进一步提升生产灵活性，适应订单定制化、少量化发展趋势，构建垂类大模型，汇集海量工业数据，培育</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产业大脑</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，综合应用环境感知、机器视觉、数字孪生等技术，满足工厂在柔性生产制造过程中对实时控制、数据集成与互操作、安全与隐私保护等方面的关键需求，实现同一条生产线根据</w:t>
      </w:r>
      <w:r>
        <w:rPr>
          <w:rFonts w:hint="eastAsia" w:ascii="Times New Roman" w:hAnsi="Times New Roman" w:eastAsia="仿宋_GB2312"/>
          <w:bCs/>
          <w:color w:val="000000"/>
          <w:sz w:val="32"/>
          <w:szCs w:val="32"/>
        </w:rPr>
        <w:t>不同</w:t>
      </w:r>
      <w:r>
        <w:rPr>
          <w:rFonts w:ascii="Times New Roman" w:hAnsi="Times New Roman" w:eastAsia="仿宋_GB2312"/>
          <w:bCs/>
          <w:color w:val="000000"/>
          <w:sz w:val="32"/>
          <w:szCs w:val="32"/>
        </w:rPr>
        <w:t>市场需求快速重构，更好地满足客户需求。</w:t>
      </w:r>
    </w:p>
    <w:p w14:paraId="4B54EB20">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三、精准高效智能育种</w:t>
      </w:r>
    </w:p>
    <w:p w14:paraId="716A5616">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针对作物育种成本高、周期长、效率低等问题，加速推动传统育种向智能育种转变，综合应用基因编辑、机器学习、仿真建模等技术，实现种质精准遗传分析与基因组预测，</w:t>
      </w:r>
      <w:r>
        <w:rPr>
          <w:rFonts w:hint="eastAsia" w:ascii="Times New Roman" w:hAnsi="Times New Roman" w:eastAsia="仿宋_GB2312"/>
          <w:bCs/>
          <w:color w:val="000000"/>
          <w:sz w:val="32"/>
          <w:szCs w:val="32"/>
        </w:rPr>
        <w:t>快速</w:t>
      </w:r>
      <w:r>
        <w:rPr>
          <w:rFonts w:ascii="Times New Roman" w:hAnsi="Times New Roman" w:eastAsia="仿宋_GB2312"/>
          <w:bCs/>
          <w:color w:val="000000"/>
          <w:sz w:val="32"/>
          <w:szCs w:val="32"/>
        </w:rPr>
        <w:t>生成个性化育种方案，并通过对育种过程中光、温、水、土和微生物等因子的精确调控和动态监测，全面掌握育种过程，有效缩短育种周期，使育种更精准、更高效，助力作物产量和品质提升。</w:t>
      </w:r>
    </w:p>
    <w:p w14:paraId="02D51CB0">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四、人形机器人在生活服务领域的典型应用</w:t>
      </w:r>
    </w:p>
    <w:p w14:paraId="0DF1D76E">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进一步推动人形机器人深度融入生活，聚焦动态环境下复杂任务规划、执行和多级协作，综合应用感知理解、群体智能、多模态感知、模仿学习等技术，不断提升人形机器人电子皮肤、精密传感、灵巧手、固态电池等核心零部件技术水平，增强协调运动、自主感知、智能决策能力，成为人类在健康养老、住宿餐饮、商超零售、休闲娱乐等领域的得力工作助手和生活管家。</w:t>
      </w:r>
    </w:p>
    <w:p w14:paraId="3DDABD4D">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五、低空智联创新应用</w:t>
      </w:r>
    </w:p>
    <w:p w14:paraId="6259E8C4">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为推动低空经济高质量发展，综合应用安全态势感知、视频识别查证等技术，搭建低空智联一张网，汇聚CIM、</w:t>
      </w:r>
      <w:r>
        <w:rPr>
          <w:rFonts w:hint="eastAsia" w:ascii="Times New Roman" w:hAnsi="Times New Roman" w:eastAsia="仿宋_GB2312"/>
          <w:bCs/>
          <w:color w:val="000000"/>
          <w:sz w:val="32"/>
          <w:szCs w:val="32"/>
        </w:rPr>
        <w:t>电磁环境、交通流量、人口密集度、北斗时空等多模态数据，为低空飞行提供高精度、高实时、高安全、低成本的</w:t>
      </w:r>
      <w:r>
        <w:rPr>
          <w:rFonts w:ascii="Times New Roman" w:hAnsi="Times New Roman" w:eastAsia="仿宋_GB2312"/>
          <w:bCs/>
          <w:color w:val="000000"/>
          <w:sz w:val="32"/>
          <w:szCs w:val="32"/>
        </w:rPr>
        <w:t>PNT</w:t>
      </w:r>
      <w:r>
        <w:rPr>
          <w:rFonts w:hint="eastAsia" w:ascii="Times New Roman" w:hAnsi="Times New Roman" w:eastAsia="仿宋_GB2312"/>
          <w:bCs/>
          <w:color w:val="000000"/>
          <w:sz w:val="32"/>
          <w:szCs w:val="32"/>
        </w:rPr>
        <w:t>服务。智能规划、动态调整低空飞行路径，增强低空飞行器自主避障、路径优化能力，不断提升低空飞行的智能感知水平，确保安全可感、高效可控。</w:t>
      </w:r>
    </w:p>
    <w:p w14:paraId="31A9B8DA">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六、手术智能辅助决策应用</w:t>
      </w:r>
    </w:p>
    <w:p w14:paraId="621C5D2E">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辅助医生提高手术精准性、降低术中风险及术后并发症，综合应用机器视觉、神经网络、大模型、虚拟增强现实等技术，智能分析患者临床诊疗记录、医学影像、数字病理、基因检测等多模态数据，智能推荐手术方式、确定手术范围、提供手术路径，精准识别定位病灶、神经、血管及淋巴结等关键重点部位，实时监测患者生命体征，通过人机协同，让患者获得最佳的手术效果。</w:t>
      </w:r>
    </w:p>
    <w:p w14:paraId="751912D8">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七、特殊作业岗位智能应用</w:t>
      </w:r>
    </w:p>
    <w:p w14:paraId="1D797B95">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针对带电检修、防汛巡堤、高空外墙清洗等特殊作业</w:t>
      </w:r>
      <w:r>
        <w:rPr>
          <w:rFonts w:hint="eastAsia" w:ascii="Times New Roman" w:hAnsi="Times New Roman" w:eastAsia="仿宋_GB2312"/>
          <w:bCs/>
          <w:color w:val="000000"/>
          <w:sz w:val="32"/>
          <w:szCs w:val="32"/>
        </w:rPr>
        <w:t>，聚焦解决</w:t>
      </w:r>
      <w:r>
        <w:rPr>
          <w:rFonts w:ascii="Times New Roman" w:hAnsi="Times New Roman" w:eastAsia="仿宋_GB2312"/>
          <w:bCs/>
          <w:color w:val="000000"/>
          <w:sz w:val="32"/>
          <w:szCs w:val="32"/>
        </w:rPr>
        <w:t>工作环境危险、事故风险高、伤亡概率大、人力资源短缺等问题，综合运用数字孪生、机器视觉、智能传感、运动控制等关键技术，依托空中智能无人机、陆地全地形智能机器人、水中智能感知探测设备等，构建空天地水智能作业综合体系，有效替代人工作业，大幅降低安全风险，实现作业方式从</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人力密集型</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向</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技术密集型</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的智能升级。</w:t>
      </w:r>
    </w:p>
    <w:p w14:paraId="6FAF5F92">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八、</w:t>
      </w:r>
      <w:r>
        <w:rPr>
          <w:rFonts w:hint="eastAsia" w:ascii="Times New Roman" w:hAnsi="Times New Roman" w:eastAsia="黑体"/>
          <w:bCs/>
          <w:color w:val="000000"/>
          <w:sz w:val="32"/>
          <w:szCs w:val="32"/>
        </w:rPr>
        <w:t>“</w:t>
      </w:r>
      <w:r>
        <w:rPr>
          <w:rFonts w:ascii="Times New Roman" w:hAnsi="Times New Roman" w:eastAsia="黑体"/>
          <w:bCs/>
          <w:color w:val="000000"/>
          <w:sz w:val="32"/>
          <w:szCs w:val="32"/>
        </w:rPr>
        <w:t>湘易办</w:t>
      </w:r>
      <w:r>
        <w:rPr>
          <w:rFonts w:hint="eastAsia" w:ascii="Times New Roman" w:hAnsi="Times New Roman" w:eastAsia="黑体"/>
          <w:bCs/>
          <w:color w:val="000000"/>
          <w:sz w:val="32"/>
          <w:szCs w:val="32"/>
        </w:rPr>
        <w:t>”“</w:t>
      </w:r>
      <w:r>
        <w:rPr>
          <w:rFonts w:ascii="Times New Roman" w:hAnsi="Times New Roman" w:eastAsia="黑体"/>
          <w:bCs/>
          <w:color w:val="000000"/>
          <w:sz w:val="32"/>
          <w:szCs w:val="32"/>
        </w:rPr>
        <w:t>湘办通</w:t>
      </w:r>
      <w:r>
        <w:rPr>
          <w:rFonts w:hint="eastAsia" w:ascii="Times New Roman" w:hAnsi="Times New Roman" w:eastAsia="黑体"/>
          <w:bCs/>
          <w:color w:val="000000"/>
          <w:sz w:val="32"/>
          <w:szCs w:val="32"/>
        </w:rPr>
        <w:t>”</w:t>
      </w:r>
      <w:r>
        <w:rPr>
          <w:rFonts w:ascii="Times New Roman" w:hAnsi="Times New Roman" w:eastAsia="黑体"/>
          <w:bCs/>
          <w:color w:val="000000"/>
          <w:sz w:val="32"/>
          <w:szCs w:val="32"/>
        </w:rPr>
        <w:t>迭代创新智能化政务应用</w:t>
      </w:r>
    </w:p>
    <w:p w14:paraId="4CFDBCD3">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针对企业和群众办事过程中存在的</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难、慢、繁</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等实际问题，按照</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省级主建、市县主用</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原则，持续迭代</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湘易办</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湘办通</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，充分发挥人工智能大模型的积极作用，实现智能受理、智能分析、智能研判、智能处置，推动政务服务从</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被动响应</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到</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主动办理</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迭代，机关办公从</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经验判断</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到</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数据赋能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升级，社会治理从</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分散管理</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到</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系统治理</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变革，驱动政务服务形态向智能化、个性化、无人化加速演进。</w:t>
      </w:r>
    </w:p>
    <w:p w14:paraId="3C9939E7">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九、智能学习助手应用</w:t>
      </w:r>
    </w:p>
    <w:p w14:paraId="73E817D1">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为激发学生创造潜能、不断提升教育品质，针对不同教育阶段、不同类型的学生学习成长的多样化、个性化需求，利用人工智能学习终端，综合应用智能语音、图像识别、知识图谱、虚拟人等技术，精准研判学生知识掌握、思维模式及认知发展水平，开展人机交互式学习，智能推荐分层学习资源、靶向强化题库及拓展任务，并通过即时反馈机制，同步更新知识图谱和薄弱点，助力构建人机协同的高效学习体系，支撑个性化教育规模</w:t>
      </w:r>
      <w:r>
        <w:rPr>
          <w:rFonts w:hint="eastAsia" w:ascii="Times New Roman" w:hAnsi="Times New Roman" w:eastAsia="仿宋_GB2312"/>
          <w:bCs/>
          <w:color w:val="000000"/>
          <w:sz w:val="32"/>
          <w:szCs w:val="32"/>
        </w:rPr>
        <w:t>化</w:t>
      </w:r>
      <w:r>
        <w:rPr>
          <w:rFonts w:ascii="Times New Roman" w:hAnsi="Times New Roman" w:eastAsia="仿宋_GB2312"/>
          <w:bCs/>
          <w:color w:val="000000"/>
          <w:sz w:val="32"/>
          <w:szCs w:val="32"/>
        </w:rPr>
        <w:t>发展。</w:t>
      </w:r>
    </w:p>
    <w:p w14:paraId="4FB33784">
      <w:pPr>
        <w:adjustRightInd w:val="0"/>
        <w:snapToGrid w:val="0"/>
        <w:spacing w:line="600" w:lineRule="exact"/>
        <w:ind w:firstLine="640" w:firstLineChars="200"/>
        <w:outlineLvl w:val="2"/>
        <w:rPr>
          <w:rFonts w:ascii="Times New Roman" w:hAnsi="Times New Roman" w:eastAsia="黑体"/>
          <w:bCs/>
          <w:color w:val="000000"/>
          <w:sz w:val="32"/>
          <w:szCs w:val="32"/>
        </w:rPr>
      </w:pPr>
      <w:r>
        <w:rPr>
          <w:rFonts w:ascii="Times New Roman" w:hAnsi="Times New Roman" w:eastAsia="黑体"/>
          <w:bCs/>
          <w:color w:val="000000"/>
          <w:sz w:val="32"/>
          <w:szCs w:val="32"/>
        </w:rPr>
        <w:t>十、海外智能营销创新应用</w:t>
      </w:r>
    </w:p>
    <w:p w14:paraId="0AF1828F">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楷体_GB2312"/>
          <w:bCs/>
          <w:color w:val="000000"/>
          <w:sz w:val="32"/>
          <w:szCs w:val="32"/>
        </w:rPr>
        <w:t>场景描述：</w:t>
      </w:r>
      <w:r>
        <w:rPr>
          <w:rFonts w:ascii="Times New Roman" w:hAnsi="Times New Roman" w:eastAsia="仿宋_GB2312"/>
          <w:bCs/>
          <w:color w:val="000000"/>
          <w:sz w:val="32"/>
          <w:szCs w:val="32"/>
        </w:rPr>
        <w:t>针对出海企业传统营销渠道单一、成本高、难以实现深度互动等问题，综合应用多模态感知、智能决策、虚拟增强现实等技术，打造营销智能助手，持续升级海外产品智能推荐、自动客服、内容生成、追踪与评估等功能，提供更加自然的沉浸式体验，更好捕捉海外潜在客户的兴趣点和需求，有效支撑业务流程提效降本，优化客户体验，实现高效、精准、智能化的营销支撑。</w:t>
      </w:r>
    </w:p>
    <w:p w14:paraId="55DB8594">
      <w:pPr>
        <w:adjustRightInd w:val="0"/>
        <w:snapToGrid w:val="0"/>
        <w:spacing w:line="600" w:lineRule="exact"/>
        <w:outlineLvl w:val="1"/>
        <w:rPr>
          <w:rFonts w:ascii="Times New Roman" w:hAnsi="Times New Roman" w:eastAsia="仿宋_GB2312"/>
          <w:bCs/>
          <w:color w:val="000000"/>
          <w:sz w:val="32"/>
          <w:szCs w:val="32"/>
        </w:rPr>
      </w:pPr>
      <w:r>
        <w:rPr>
          <w:rFonts w:ascii="Times New Roman" w:hAnsi="Times New Roman" w:eastAsia="方正小标宋简体"/>
          <w:bCs/>
          <w:color w:val="000000"/>
          <w:kern w:val="0"/>
          <w:sz w:val="32"/>
          <w:szCs w:val="32"/>
        </w:rPr>
        <w:br w:type="page"/>
      </w:r>
      <w:r>
        <w:rPr>
          <w:rFonts w:ascii="Times New Roman" w:hAnsi="Times New Roman" w:eastAsia="黑体"/>
          <w:bCs/>
          <w:color w:val="000000"/>
          <w:sz w:val="32"/>
          <w:szCs w:val="32"/>
        </w:rPr>
        <w:t>附件</w:t>
      </w:r>
      <w:r>
        <w:rPr>
          <w:rFonts w:ascii="Times New Roman" w:hAnsi="Times New Roman" w:eastAsia="仿宋_GB2312"/>
          <w:bCs/>
          <w:color w:val="000000"/>
          <w:sz w:val="32"/>
          <w:szCs w:val="32"/>
        </w:rPr>
        <w:t>4</w:t>
      </w:r>
    </w:p>
    <w:p w14:paraId="6952E37E">
      <w:pPr>
        <w:adjustRightInd w:val="0"/>
        <w:snapToGrid w:val="0"/>
        <w:spacing w:line="600" w:lineRule="exact"/>
        <w:rPr>
          <w:rFonts w:ascii="Times New Roman" w:hAnsi="Times New Roman" w:eastAsia="方正小标宋简体"/>
          <w:bCs/>
          <w:color w:val="000000"/>
          <w:sz w:val="32"/>
          <w:szCs w:val="32"/>
        </w:rPr>
      </w:pPr>
    </w:p>
    <w:p w14:paraId="6641BB1C">
      <w:pPr>
        <w:snapToGrid w:val="0"/>
        <w:spacing w:line="60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湖南省</w:t>
      </w:r>
      <w:r>
        <w:rPr>
          <w:rFonts w:hint="eastAsia" w:ascii="仿宋_GB2312" w:hAnsi="Times New Roman" w:eastAsia="仿宋_GB2312"/>
          <w:bCs/>
          <w:color w:val="000000"/>
          <w:sz w:val="44"/>
          <w:szCs w:val="44"/>
        </w:rPr>
        <w:t>“</w:t>
      </w:r>
      <w:r>
        <w:rPr>
          <w:rFonts w:ascii="Times New Roman" w:hAnsi="Times New Roman" w:eastAsia="方正小标宋简体"/>
          <w:bCs/>
          <w:color w:val="000000"/>
          <w:sz w:val="44"/>
          <w:szCs w:val="44"/>
        </w:rPr>
        <w:t>人工智能+</w:t>
      </w:r>
      <w:r>
        <w:rPr>
          <w:rFonts w:hint="eastAsia" w:ascii="仿宋_GB2312" w:hAnsi="Times New Roman" w:eastAsia="仿宋_GB2312"/>
          <w:bCs/>
          <w:color w:val="000000"/>
          <w:sz w:val="44"/>
          <w:szCs w:val="44"/>
        </w:rPr>
        <w:t>”</w:t>
      </w:r>
      <w:r>
        <w:rPr>
          <w:rFonts w:ascii="Times New Roman" w:hAnsi="Times New Roman" w:eastAsia="方正小标宋简体"/>
          <w:bCs/>
          <w:color w:val="000000"/>
          <w:sz w:val="44"/>
          <w:szCs w:val="44"/>
        </w:rPr>
        <w:t>十大重点科技创新平台</w:t>
      </w:r>
    </w:p>
    <w:p w14:paraId="58DA496B">
      <w:pPr>
        <w:snapToGrid w:val="0"/>
        <w:spacing w:line="60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（首批）</w:t>
      </w:r>
    </w:p>
    <w:p w14:paraId="0A642F26">
      <w:pPr>
        <w:adjustRightInd w:val="0"/>
        <w:snapToGrid w:val="0"/>
        <w:spacing w:line="600" w:lineRule="exact"/>
        <w:ind w:firstLine="640" w:firstLineChars="200"/>
        <w:rPr>
          <w:rFonts w:ascii="Times New Roman" w:hAnsi="Times New Roman" w:eastAsia="仿宋_GB2312"/>
          <w:bCs/>
          <w:color w:val="000000"/>
          <w:sz w:val="32"/>
          <w:szCs w:val="32"/>
        </w:rPr>
      </w:pPr>
    </w:p>
    <w:p w14:paraId="68FEDA6C">
      <w:pPr>
        <w:adjustRightInd w:val="0"/>
        <w:snapToGrid w:val="0"/>
        <w:spacing w:line="600" w:lineRule="exact"/>
        <w:ind w:firstLine="640" w:firstLineChars="200"/>
        <w:rPr>
          <w:rFonts w:ascii="Times New Roman" w:hAnsi="Times New Roman" w:eastAsia="楷体_GB2312"/>
          <w:bCs/>
          <w:sz w:val="32"/>
          <w:szCs w:val="32"/>
        </w:rPr>
      </w:pPr>
      <w:r>
        <w:rPr>
          <w:rFonts w:ascii="Times New Roman" w:hAnsi="Times New Roman" w:eastAsia="黑体"/>
          <w:bCs/>
          <w:sz w:val="32"/>
          <w:szCs w:val="32"/>
        </w:rPr>
        <w:t>一、研究型平台</w:t>
      </w:r>
      <w:r>
        <w:rPr>
          <w:rFonts w:ascii="Times New Roman" w:hAnsi="Times New Roman" w:eastAsia="楷体_GB2312"/>
          <w:bCs/>
          <w:sz w:val="32"/>
          <w:szCs w:val="32"/>
        </w:rPr>
        <w:t>（2个）</w:t>
      </w:r>
    </w:p>
    <w:p w14:paraId="273A80E0">
      <w:pPr>
        <w:spacing w:line="600" w:lineRule="exact"/>
        <w:ind w:firstLine="640" w:firstLineChars="200"/>
        <w:rPr>
          <w:rFonts w:ascii="Times New Roman" w:hAnsi="Times New Roman" w:eastAsia="仿宋_GB2312"/>
          <w:bCs/>
          <w:sz w:val="32"/>
          <w:szCs w:val="32"/>
        </w:rPr>
      </w:pPr>
      <w:r>
        <w:rPr>
          <w:rFonts w:ascii="Times New Roman" w:hAnsi="Times New Roman" w:eastAsia="楷体_GB2312"/>
          <w:bCs/>
          <w:sz w:val="32"/>
          <w:szCs w:val="32"/>
        </w:rPr>
        <w:t>1</w:t>
      </w:r>
      <w:r>
        <w:rPr>
          <w:rFonts w:hint="eastAsia" w:ascii="Times New Roman" w:hAnsi="Times New Roman" w:eastAsia="楷体_GB2312"/>
          <w:bCs/>
          <w:sz w:val="32"/>
          <w:szCs w:val="32"/>
        </w:rPr>
        <w:t>．</w:t>
      </w:r>
      <w:r>
        <w:rPr>
          <w:rFonts w:ascii="Times New Roman" w:hAnsi="Times New Roman" w:eastAsia="仿宋_GB2312"/>
          <w:bCs/>
          <w:sz w:val="32"/>
          <w:szCs w:val="32"/>
        </w:rPr>
        <w:t>湖南国家应用数学中心</w:t>
      </w:r>
    </w:p>
    <w:p w14:paraId="3DB9746E">
      <w:pPr>
        <w:spacing w:line="600" w:lineRule="exact"/>
        <w:ind w:firstLine="640" w:firstLineChars="200"/>
        <w:rPr>
          <w:rFonts w:ascii="Times New Roman" w:hAnsi="Times New Roman"/>
          <w:bCs/>
          <w:sz w:val="32"/>
          <w:szCs w:val="32"/>
        </w:rPr>
      </w:pPr>
      <w:r>
        <w:rPr>
          <w:rFonts w:ascii="Times New Roman" w:hAnsi="Times New Roman" w:eastAsia="楷体_GB2312"/>
          <w:bCs/>
          <w:sz w:val="32"/>
          <w:szCs w:val="32"/>
        </w:rPr>
        <w:t>2</w:t>
      </w:r>
      <w:r>
        <w:rPr>
          <w:rFonts w:hint="eastAsia" w:ascii="Times New Roman" w:hAnsi="Times New Roman" w:eastAsia="楷体_GB2312"/>
          <w:bCs/>
          <w:sz w:val="32"/>
          <w:szCs w:val="32"/>
        </w:rPr>
        <w:t>．</w:t>
      </w:r>
      <w:r>
        <w:rPr>
          <w:rFonts w:ascii="Times New Roman" w:hAnsi="Times New Roman" w:eastAsia="仿宋_GB2312"/>
          <w:bCs/>
          <w:color w:val="000000"/>
          <w:sz w:val="32"/>
          <w:szCs w:val="32"/>
        </w:rPr>
        <w:t>湖南先进技术研究院</w:t>
      </w:r>
    </w:p>
    <w:p w14:paraId="00864746">
      <w:pPr>
        <w:spacing w:line="600" w:lineRule="exact"/>
        <w:ind w:firstLine="640" w:firstLineChars="200"/>
        <w:rPr>
          <w:rFonts w:ascii="Times New Roman" w:hAnsi="Times New Roman" w:eastAsia="楷体_GB2312"/>
          <w:bCs/>
          <w:sz w:val="32"/>
          <w:szCs w:val="32"/>
        </w:rPr>
      </w:pPr>
      <w:r>
        <w:rPr>
          <w:rFonts w:ascii="Times New Roman" w:hAnsi="Times New Roman" w:eastAsia="黑体"/>
          <w:bCs/>
          <w:sz w:val="32"/>
          <w:szCs w:val="32"/>
        </w:rPr>
        <w:t>二、应用型平台</w:t>
      </w:r>
      <w:r>
        <w:rPr>
          <w:rFonts w:ascii="Times New Roman" w:hAnsi="Times New Roman" w:eastAsia="楷体_GB2312"/>
          <w:bCs/>
          <w:sz w:val="32"/>
          <w:szCs w:val="32"/>
        </w:rPr>
        <w:t>（1个）</w:t>
      </w:r>
    </w:p>
    <w:p w14:paraId="0846CA10">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楷体_GB2312"/>
          <w:bCs/>
          <w:sz w:val="32"/>
          <w:szCs w:val="32"/>
        </w:rPr>
        <w:t>．</w:t>
      </w:r>
      <w:r>
        <w:rPr>
          <w:rFonts w:ascii="Times New Roman" w:hAnsi="Times New Roman" w:eastAsia="仿宋_GB2312"/>
          <w:bCs/>
          <w:sz w:val="32"/>
          <w:szCs w:val="32"/>
        </w:rPr>
        <w:t>岳麓山工业创新中心（AI+先进制造/具身智能）</w:t>
      </w:r>
    </w:p>
    <w:p w14:paraId="5A668B52">
      <w:pPr>
        <w:spacing w:line="60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三、创新型平台</w:t>
      </w:r>
      <w:r>
        <w:rPr>
          <w:rFonts w:ascii="Times New Roman" w:hAnsi="Times New Roman" w:eastAsia="楷体_GB2312"/>
          <w:bCs/>
          <w:sz w:val="32"/>
          <w:szCs w:val="32"/>
        </w:rPr>
        <w:t>（2个）</w:t>
      </w:r>
    </w:p>
    <w:p w14:paraId="289F9F7E">
      <w:pPr>
        <w:spacing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4</w:t>
      </w:r>
      <w:r>
        <w:rPr>
          <w:rFonts w:hint="eastAsia" w:ascii="Times New Roman" w:hAnsi="Times New Roman" w:eastAsia="楷体_GB2312"/>
          <w:bCs/>
          <w:sz w:val="32"/>
          <w:szCs w:val="32"/>
        </w:rPr>
        <w:t>．</w:t>
      </w:r>
      <w:r>
        <w:rPr>
          <w:rFonts w:ascii="Times New Roman" w:hAnsi="Times New Roman" w:eastAsia="仿宋_GB2312"/>
          <w:bCs/>
          <w:sz w:val="32"/>
          <w:szCs w:val="32"/>
        </w:rPr>
        <w:t>国家超级计算长沙中心</w:t>
      </w:r>
    </w:p>
    <w:p w14:paraId="677300A4">
      <w:pPr>
        <w:spacing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5</w:t>
      </w:r>
      <w:r>
        <w:rPr>
          <w:rFonts w:hint="eastAsia" w:ascii="Times New Roman" w:hAnsi="Times New Roman" w:eastAsia="楷体_GB2312"/>
          <w:bCs/>
          <w:sz w:val="32"/>
          <w:szCs w:val="32"/>
        </w:rPr>
        <w:t>．</w:t>
      </w:r>
      <w:r>
        <w:rPr>
          <w:rFonts w:ascii="Times New Roman" w:hAnsi="Times New Roman" w:eastAsia="仿宋_GB2312"/>
          <w:bCs/>
          <w:color w:val="000000"/>
          <w:sz w:val="32"/>
          <w:szCs w:val="32"/>
        </w:rPr>
        <w:t>湘江实验室</w:t>
      </w:r>
    </w:p>
    <w:p w14:paraId="39AC75DF">
      <w:pPr>
        <w:adjustRightInd w:val="0"/>
        <w:snapToGrid w:val="0"/>
        <w:spacing w:line="600" w:lineRule="exact"/>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r>
        <w:rPr>
          <w:rFonts w:ascii="Times New Roman" w:hAnsi="Times New Roman" w:eastAsia="黑体"/>
          <w:bCs/>
          <w:color w:val="000000"/>
          <w:sz w:val="32"/>
          <w:szCs w:val="32"/>
        </w:rPr>
        <w:t>附件</w:t>
      </w:r>
      <w:r>
        <w:rPr>
          <w:rFonts w:ascii="Times New Roman" w:hAnsi="Times New Roman" w:eastAsia="仿宋_GB2312"/>
          <w:bCs/>
          <w:color w:val="000000"/>
          <w:sz w:val="32"/>
          <w:szCs w:val="32"/>
        </w:rPr>
        <w:t>5</w:t>
      </w:r>
    </w:p>
    <w:p w14:paraId="65860339">
      <w:pPr>
        <w:adjustRightInd w:val="0"/>
        <w:snapToGrid w:val="0"/>
        <w:spacing w:line="600" w:lineRule="exact"/>
        <w:jc w:val="center"/>
        <w:outlineLvl w:val="1"/>
        <w:rPr>
          <w:rFonts w:ascii="Times New Roman" w:hAnsi="Times New Roman" w:eastAsia="方正小标宋简体"/>
          <w:bCs/>
          <w:color w:val="000000"/>
          <w:sz w:val="32"/>
          <w:szCs w:val="32"/>
        </w:rPr>
      </w:pPr>
    </w:p>
    <w:p w14:paraId="7C2B4C48">
      <w:pPr>
        <w:adjustRightInd w:val="0"/>
        <w:snapToGrid w:val="0"/>
        <w:spacing w:line="600" w:lineRule="exact"/>
        <w:jc w:val="center"/>
        <w:outlineLvl w:val="1"/>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湖南省</w:t>
      </w:r>
      <w:r>
        <w:rPr>
          <w:rFonts w:hint="eastAsia" w:ascii="仿宋_GB2312" w:hAnsi="Times New Roman" w:eastAsia="仿宋_GB2312"/>
          <w:bCs/>
          <w:color w:val="000000"/>
          <w:sz w:val="44"/>
          <w:szCs w:val="44"/>
        </w:rPr>
        <w:t>“</w:t>
      </w:r>
      <w:r>
        <w:rPr>
          <w:rFonts w:ascii="Times New Roman" w:hAnsi="Times New Roman" w:eastAsia="方正小标宋简体"/>
          <w:bCs/>
          <w:color w:val="000000"/>
          <w:sz w:val="44"/>
          <w:szCs w:val="44"/>
        </w:rPr>
        <w:t>人工智能+</w:t>
      </w:r>
      <w:r>
        <w:rPr>
          <w:rFonts w:hint="eastAsia" w:ascii="仿宋_GB2312" w:hAnsi="Times New Roman" w:eastAsia="仿宋_GB2312"/>
          <w:bCs/>
          <w:color w:val="000000"/>
          <w:sz w:val="44"/>
          <w:szCs w:val="44"/>
        </w:rPr>
        <w:t>”</w:t>
      </w:r>
      <w:r>
        <w:rPr>
          <w:rFonts w:ascii="Times New Roman" w:hAnsi="Times New Roman" w:eastAsia="方正小标宋简体"/>
          <w:bCs/>
          <w:color w:val="000000"/>
          <w:sz w:val="44"/>
          <w:szCs w:val="44"/>
        </w:rPr>
        <w:t>十大支持措施</w:t>
      </w:r>
    </w:p>
    <w:p w14:paraId="06706A93">
      <w:pPr>
        <w:adjustRightInd w:val="0"/>
        <w:snapToGrid w:val="0"/>
        <w:spacing w:line="600" w:lineRule="exact"/>
        <w:ind w:firstLine="640" w:firstLineChars="200"/>
        <w:rPr>
          <w:rFonts w:ascii="Times New Roman" w:hAnsi="Times New Roman" w:eastAsia="方正仿宋_GBK"/>
          <w:bCs/>
          <w:color w:val="000000"/>
          <w:sz w:val="32"/>
          <w:szCs w:val="32"/>
        </w:rPr>
      </w:pPr>
    </w:p>
    <w:p w14:paraId="04BA4BE7">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为深入贯彻落实国务院《关于深入实施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行动的意见》（国发〔2025〕11号）精神，充分发挥人工智能对经济社会高质量发展的赋能作用，结合湖南省产业基础与发展实际，制定本政策措施。</w:t>
      </w:r>
    </w:p>
    <w:p w14:paraId="2D53B83F">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一、</w:t>
      </w:r>
      <w:r>
        <w:rPr>
          <w:rFonts w:ascii="Times New Roman" w:hAnsi="Times New Roman" w:eastAsia="黑体"/>
          <w:bCs/>
          <w:color w:val="000000"/>
          <w:sz w:val="32"/>
          <w:szCs w:val="32"/>
        </w:rPr>
        <w:t>促进算力资源使用。</w:t>
      </w:r>
      <w:r>
        <w:rPr>
          <w:rFonts w:ascii="Times New Roman" w:hAnsi="Times New Roman" w:eastAsia="仿宋_GB2312"/>
          <w:bCs/>
          <w:color w:val="000000"/>
          <w:sz w:val="32"/>
          <w:szCs w:val="32"/>
        </w:rPr>
        <w:t>每年发放1亿元算力券，对购买算力服务的企业，按不超过年度算力总支出的30%给予补贴，最高不超过1000万元。</w:t>
      </w:r>
      <w:r>
        <w:rPr>
          <w:rFonts w:ascii="Times New Roman" w:hAnsi="Times New Roman" w:eastAsia="楷体_GB2312"/>
          <w:bCs/>
          <w:color w:val="000000"/>
          <w:sz w:val="32"/>
          <w:szCs w:val="32"/>
        </w:rPr>
        <w:t>（责任单位：省工业和信息化厅牵头，省发展改革委、省科技厅、省财政厅</w:t>
      </w:r>
      <w:r>
        <w:rPr>
          <w:rFonts w:hint="eastAsia" w:ascii="Times New Roman" w:hAnsi="Times New Roman" w:eastAsia="楷体_GB2312"/>
          <w:bCs/>
          <w:color w:val="000000"/>
          <w:sz w:val="32"/>
          <w:szCs w:val="32"/>
        </w:rPr>
        <w:t>等</w:t>
      </w:r>
      <w:r>
        <w:rPr>
          <w:rFonts w:ascii="Times New Roman" w:hAnsi="Times New Roman" w:eastAsia="楷体_GB2312"/>
          <w:bCs/>
          <w:color w:val="000000"/>
          <w:sz w:val="32"/>
          <w:szCs w:val="32"/>
        </w:rPr>
        <w:t>按职责分工负责）</w:t>
      </w:r>
    </w:p>
    <w:p w14:paraId="2B48B487">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二、</w:t>
      </w:r>
      <w:r>
        <w:rPr>
          <w:rFonts w:ascii="Times New Roman" w:hAnsi="Times New Roman" w:eastAsia="黑体"/>
          <w:bCs/>
          <w:color w:val="000000"/>
          <w:sz w:val="32"/>
          <w:szCs w:val="32"/>
        </w:rPr>
        <w:t>推进高质量数据集建设。</w:t>
      </w:r>
      <w:r>
        <w:rPr>
          <w:rFonts w:ascii="Times New Roman" w:hAnsi="Times New Roman" w:eastAsia="仿宋_GB2312"/>
          <w:bCs/>
          <w:color w:val="000000"/>
          <w:sz w:val="32"/>
          <w:szCs w:val="32"/>
        </w:rPr>
        <w:t>围绕</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行动六大重点领域，加强人工智能高质量数据供给。支持发展数据采集、清洗、标注等数据处理和服务产业，建设可直接用于人工智能大模型训练、验证、测试的数据集。培育一批生态带动和产业引领能力强的数据处理、数据服务等数据企业。每年评选一批成效显著的人工智能高质量数据集，按不超过核定投资额的20%给予奖励，最高不超过100万元。</w:t>
      </w:r>
      <w:r>
        <w:rPr>
          <w:rFonts w:ascii="Times New Roman" w:hAnsi="Times New Roman" w:eastAsia="楷体_GB2312"/>
          <w:bCs/>
          <w:color w:val="000000"/>
          <w:sz w:val="32"/>
          <w:szCs w:val="32"/>
        </w:rPr>
        <w:t>（责任单位：省数据局、省工业和信息化厅牵头，省发展改革委、省教育厅、省科技厅、省公安厅、省财政厅、省自然资源厅、省交通运输厅、省文化和旅游厅、省卫生健康委、省广电局等按职责分工负责）</w:t>
      </w:r>
    </w:p>
    <w:p w14:paraId="46F639F1">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三、</w:t>
      </w:r>
      <w:r>
        <w:rPr>
          <w:rFonts w:ascii="Times New Roman" w:hAnsi="Times New Roman" w:eastAsia="黑体"/>
          <w:bCs/>
          <w:color w:val="000000"/>
          <w:sz w:val="32"/>
          <w:szCs w:val="32"/>
        </w:rPr>
        <w:t>加强关键技术攻关。</w:t>
      </w:r>
      <w:r>
        <w:rPr>
          <w:rFonts w:ascii="Times New Roman" w:hAnsi="Times New Roman" w:eastAsia="仿宋_GB2312"/>
          <w:bCs/>
          <w:color w:val="000000"/>
          <w:sz w:val="32"/>
          <w:szCs w:val="32"/>
        </w:rPr>
        <w:t>围绕人工智能基础理论、关键共性技术和前沿方向，部署实施一批科研攻关项目，重点支持智能芯片、智能传感器、超智融合计算、智能软件、脑机接口、具身智能、类脑智能、群体智能、智能建造等领域技术攻关与探索。培育建设一批</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领域的研究型、应用型、创新型科技创新平台，定期开展</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十大重点科技创新平台评选，并对入选平台给予政策倾斜。对新获批的国家级科技创新平台，每年支持500万元，连续支持三年。</w:t>
      </w:r>
      <w:r>
        <w:rPr>
          <w:rFonts w:ascii="Times New Roman" w:hAnsi="Times New Roman" w:eastAsia="楷体_GB2312"/>
          <w:bCs/>
          <w:color w:val="000000"/>
          <w:sz w:val="32"/>
          <w:szCs w:val="32"/>
        </w:rPr>
        <w:t>（责任单位：省科技厅、省发展改革委、省工业和信息化厅、省财政厅、省住房城乡建设厅等按职责分工负责）</w:t>
      </w:r>
    </w:p>
    <w:p w14:paraId="572B1980">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四、</w:t>
      </w:r>
      <w:r>
        <w:rPr>
          <w:rFonts w:ascii="Times New Roman" w:hAnsi="Times New Roman" w:eastAsia="黑体"/>
          <w:bCs/>
          <w:color w:val="000000"/>
          <w:sz w:val="32"/>
          <w:szCs w:val="32"/>
        </w:rPr>
        <w:t>支持垂类大模型研发。</w:t>
      </w:r>
      <w:r>
        <w:rPr>
          <w:rFonts w:ascii="Times New Roman" w:hAnsi="Times New Roman" w:eastAsia="仿宋_GB2312"/>
          <w:bCs/>
          <w:color w:val="000000"/>
          <w:sz w:val="32"/>
          <w:szCs w:val="32"/>
        </w:rPr>
        <w:t>加快推动行业垂类大模型在工程机械、轨道交通、生物医药、新材料、音视频、文化旅游、现代农业、医疗、教育、自然资源等优势领域的部署应用，每年评选一批人工智能垂类大模型，按不超过核定投资额的20%给予奖励，最高不超过100万元。</w:t>
      </w:r>
      <w:r>
        <w:rPr>
          <w:rFonts w:ascii="Times New Roman" w:hAnsi="Times New Roman" w:eastAsia="楷体_GB2312"/>
          <w:bCs/>
          <w:color w:val="000000"/>
          <w:sz w:val="32"/>
          <w:szCs w:val="32"/>
        </w:rPr>
        <w:t>（责任单位：省工业和信息化厅牵头，省委宣传部、省委网信办、省教育厅、省科技厅、省财政厅、省农业农村厅、省文化和旅游厅、省卫生健康委、省广电局、省数据局等按职责分工负责）</w:t>
      </w:r>
    </w:p>
    <w:p w14:paraId="67BB4D02">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五、</w:t>
      </w:r>
      <w:r>
        <w:rPr>
          <w:rFonts w:ascii="Times New Roman" w:hAnsi="Times New Roman" w:eastAsia="黑体"/>
          <w:bCs/>
          <w:color w:val="000000"/>
          <w:sz w:val="32"/>
          <w:szCs w:val="32"/>
        </w:rPr>
        <w:t>加快重点企业培育。</w:t>
      </w:r>
      <w:r>
        <w:rPr>
          <w:rFonts w:ascii="Times New Roman" w:hAnsi="Times New Roman" w:eastAsia="仿宋_GB2312"/>
          <w:bCs/>
          <w:color w:val="000000"/>
          <w:sz w:val="32"/>
          <w:szCs w:val="32"/>
        </w:rPr>
        <w:t>加快构建人工智能企业培育体系，重点培育一批底层架构和运行逻辑基于人工智能的智能原生企业。定期开展</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十大重点企业评选，并对入选企业给予政策倾斜。对新获批人工智能领域国家级单项冠军企业给予一次性最高100万元的奖励。</w:t>
      </w:r>
      <w:r>
        <w:rPr>
          <w:rFonts w:ascii="Times New Roman" w:hAnsi="Times New Roman" w:eastAsia="楷体_GB2312"/>
          <w:bCs/>
          <w:color w:val="000000"/>
          <w:sz w:val="32"/>
          <w:szCs w:val="32"/>
        </w:rPr>
        <w:t>（责任单位：省工业和信息化厅、省财政厅</w:t>
      </w:r>
      <w:r>
        <w:rPr>
          <w:rFonts w:hint="eastAsia" w:ascii="Times New Roman" w:hAnsi="Times New Roman" w:eastAsia="楷体_GB2312"/>
          <w:bCs/>
          <w:color w:val="000000"/>
          <w:sz w:val="32"/>
          <w:szCs w:val="32"/>
        </w:rPr>
        <w:t>等</w:t>
      </w:r>
      <w:r>
        <w:rPr>
          <w:rFonts w:ascii="Times New Roman" w:hAnsi="Times New Roman" w:eastAsia="楷体_GB2312"/>
          <w:bCs/>
          <w:color w:val="000000"/>
          <w:sz w:val="32"/>
          <w:szCs w:val="32"/>
        </w:rPr>
        <w:t>按职责分工负责）</w:t>
      </w:r>
    </w:p>
    <w:p w14:paraId="6280CAFB">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六、</w:t>
      </w:r>
      <w:r>
        <w:rPr>
          <w:rFonts w:ascii="Times New Roman" w:hAnsi="Times New Roman" w:eastAsia="黑体"/>
          <w:bCs/>
          <w:color w:val="000000"/>
          <w:sz w:val="32"/>
          <w:szCs w:val="32"/>
        </w:rPr>
        <w:t>深化应用场景拓展。</w:t>
      </w:r>
      <w:r>
        <w:rPr>
          <w:rFonts w:ascii="Times New Roman" w:hAnsi="Times New Roman" w:eastAsia="仿宋_GB2312"/>
          <w:bCs/>
          <w:color w:val="000000"/>
          <w:sz w:val="32"/>
          <w:szCs w:val="32"/>
        </w:rPr>
        <w:t>全面贯彻落实</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行动要求，压实</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管行业管人工智能应用</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责任，聚焦科学技术、产业发展、消费提质、民生福祉、治理能力、全球合作等领域，加大人工智能应用场景开放与培育。每年评选</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十大示范场景，对入选示范场景的建设单位，按项目核定投资额的20%给予支持，最高不超过200万元。定期发布</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人工智能+</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十大未来场景，引导企业聚焦场景需求，加快推动人工智能技术迭代与应用突破。</w:t>
      </w:r>
      <w:r>
        <w:rPr>
          <w:rFonts w:ascii="Times New Roman" w:hAnsi="Times New Roman" w:eastAsia="楷体_GB2312"/>
          <w:bCs/>
          <w:color w:val="000000"/>
          <w:sz w:val="32"/>
          <w:szCs w:val="32"/>
        </w:rPr>
        <w:t>（责任单位：省发展改革委、省工业和信息化厅牵头，省委宣传部、省委军民融合办、省教育厅、省科技厅、省公安厅、省民政厅、省财政厅、省人力资源社会保障厅、省自然资源厅、省生态环境厅、省住房城乡建设厅、省交通运输厅、省水利厅、省农业农村厅、省商务厅、省文化和旅游厅、省卫生健康委、省应急管理厅、省国资委、省林业局、省广电局、省机关事务局、省医保局、省数据局、省能源局等按职责分工负责）</w:t>
      </w:r>
    </w:p>
    <w:p w14:paraId="6ACB78E0">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七、</w:t>
      </w:r>
      <w:r>
        <w:rPr>
          <w:rFonts w:ascii="Times New Roman" w:hAnsi="Times New Roman" w:eastAsia="黑体"/>
          <w:bCs/>
          <w:color w:val="000000"/>
          <w:sz w:val="32"/>
          <w:szCs w:val="32"/>
        </w:rPr>
        <w:t>扩大创新产品供给。</w:t>
      </w:r>
      <w:r>
        <w:rPr>
          <w:rFonts w:ascii="Times New Roman" w:hAnsi="Times New Roman" w:eastAsia="仿宋_GB2312"/>
          <w:bCs/>
          <w:color w:val="000000"/>
          <w:sz w:val="32"/>
          <w:szCs w:val="32"/>
        </w:rPr>
        <w:t>培育智能产品生态，大力发展</w:t>
      </w:r>
      <w:bookmarkStart w:id="0" w:name="OLE_LINK1"/>
      <w:r>
        <w:rPr>
          <w:rFonts w:ascii="Times New Roman" w:hAnsi="Times New Roman" w:eastAsia="仿宋_GB2312"/>
          <w:bCs/>
          <w:color w:val="000000"/>
          <w:sz w:val="32"/>
          <w:szCs w:val="32"/>
        </w:rPr>
        <w:t>智能机器人、智能网联汽车</w:t>
      </w:r>
      <w:bookmarkEnd w:id="0"/>
      <w:r>
        <w:rPr>
          <w:rFonts w:ascii="Times New Roman" w:hAnsi="Times New Roman" w:eastAsia="仿宋_GB2312"/>
          <w:bCs/>
          <w:color w:val="000000"/>
          <w:sz w:val="32"/>
          <w:szCs w:val="32"/>
        </w:rPr>
        <w:t>、人工智能手机和电脑、智能穿戴、智能家居等新一代智能终端，推动软件信息服务企业智能化转型，支持发展</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模型即服务</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智能体即服务</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等人工智能应用服务，加快推进人工智能与元宇宙、低空飞行、增材制造、脑机接口等技术融合和产品创新。每年评选一批人工智能软硬件创新产品，按不超过项目核定投资额的20%给予支持，最高不超过100万元。</w:t>
      </w:r>
      <w:r>
        <w:rPr>
          <w:rFonts w:ascii="Times New Roman" w:hAnsi="Times New Roman" w:eastAsia="楷体_GB2312"/>
          <w:bCs/>
          <w:color w:val="000000"/>
          <w:sz w:val="32"/>
          <w:szCs w:val="32"/>
        </w:rPr>
        <w:t>（责任单位：省工业和信息化厅牵头，省科技厅、省财政厅等按职责分工负责）</w:t>
      </w:r>
    </w:p>
    <w:p w14:paraId="695C5F36">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八、</w:t>
      </w:r>
      <w:r>
        <w:rPr>
          <w:rFonts w:ascii="Times New Roman" w:hAnsi="Times New Roman" w:eastAsia="黑体"/>
          <w:bCs/>
          <w:color w:val="000000"/>
          <w:sz w:val="32"/>
          <w:szCs w:val="32"/>
        </w:rPr>
        <w:t>加大优秀人才引育。</w:t>
      </w:r>
      <w:r>
        <w:rPr>
          <w:rFonts w:ascii="Times New Roman" w:hAnsi="Times New Roman" w:eastAsia="仿宋_GB2312"/>
          <w:bCs/>
          <w:color w:val="000000"/>
          <w:sz w:val="32"/>
          <w:szCs w:val="32"/>
        </w:rPr>
        <w:t>加大人工智能顶尖人才引进力度，对转化成果显著并推动产业发展的一流科学家及创新团队以</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一事一议</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的方式给予支持。支持高校大力发展人工智能相关学科专业，积极推进人工智能与各学科专业交叉融合，深化产教融合、科教融合，加快培养高素质人工智能人才。支持高校、科研院所等事业单位人工智能领域科研人员离岗创业，最长6年内可保留人事关系，其取得的工作业绩可作为职称评审、岗位竞聘、考核奖励等重要依据。支持举办人工智能领域创新创业大赛等赛事活动。在</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芙蓉计划</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相关人才项目中单列人工智能方向，不限申报名额，探索以直接遴选方式重点支持。</w:t>
      </w:r>
      <w:r>
        <w:rPr>
          <w:rFonts w:ascii="Times New Roman" w:hAnsi="Times New Roman" w:eastAsia="楷体_GB2312"/>
          <w:bCs/>
          <w:color w:val="000000"/>
          <w:sz w:val="32"/>
          <w:szCs w:val="32"/>
        </w:rPr>
        <w:t>（责任单位：省委组织部牵头，省委宣传部、省教育厅、省科技厅、省人力资源社会保障厅</w:t>
      </w:r>
      <w:r>
        <w:rPr>
          <w:rFonts w:hint="eastAsia" w:ascii="Times New Roman" w:hAnsi="Times New Roman" w:eastAsia="楷体_GB2312"/>
          <w:bCs/>
          <w:color w:val="000000"/>
          <w:sz w:val="32"/>
          <w:szCs w:val="32"/>
        </w:rPr>
        <w:t>等</w:t>
      </w:r>
      <w:r>
        <w:rPr>
          <w:rFonts w:ascii="Times New Roman" w:hAnsi="Times New Roman" w:eastAsia="楷体_GB2312"/>
          <w:bCs/>
          <w:color w:val="000000"/>
          <w:sz w:val="32"/>
          <w:szCs w:val="32"/>
        </w:rPr>
        <w:t>按职责分工负责）</w:t>
      </w:r>
    </w:p>
    <w:p w14:paraId="32F37ABE">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九、</w:t>
      </w:r>
      <w:r>
        <w:rPr>
          <w:rFonts w:ascii="Times New Roman" w:hAnsi="Times New Roman" w:eastAsia="黑体"/>
          <w:bCs/>
          <w:color w:val="000000"/>
          <w:sz w:val="32"/>
          <w:szCs w:val="32"/>
        </w:rPr>
        <w:t>强化金融政策保障。</w:t>
      </w:r>
      <w:r>
        <w:rPr>
          <w:rFonts w:ascii="Times New Roman" w:hAnsi="Times New Roman" w:eastAsia="仿宋_GB2312"/>
          <w:bCs/>
          <w:color w:val="000000"/>
          <w:sz w:val="32"/>
          <w:szCs w:val="32"/>
        </w:rPr>
        <w:t>充分发挥</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金芙蓉基金</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撬动作用，引导社会资本创新金融产品和服务，聚焦人工智能基础及应用软件、智能芯片等关键软硬件，计算机视觉、机器学习、具身智能、人机交互等关键技术，人工智能重点应用场景解决方案等重点领域，着力投早、投小、投长期，满足企业和项目金融需求。优先将符合条件的人工智能企业纳入省产融合作制造业</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白名单</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和科技成果转化</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先投后股</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项目清单，按规定落实相关支持政策。鼓励银行机构为人工智能关键软硬件、关键技术和重点企业加大金融支持力度。支持符合条件的人工智能相关项目申报超长期特别国债、地方政府专项债券资金。支持人工智能重点企业发行科创债等创新债券。</w:t>
      </w:r>
      <w:r>
        <w:rPr>
          <w:rFonts w:ascii="Times New Roman" w:hAnsi="Times New Roman" w:eastAsia="楷体_GB2312"/>
          <w:bCs/>
          <w:color w:val="000000"/>
          <w:sz w:val="32"/>
          <w:szCs w:val="32"/>
        </w:rPr>
        <w:t>（责任单位：省财政厅、省委金融办、省发展改革委、省科技厅、省工业和信息化厅、人民银行湖南省分行</w:t>
      </w:r>
      <w:r>
        <w:rPr>
          <w:rFonts w:hint="eastAsia" w:ascii="Times New Roman" w:hAnsi="Times New Roman" w:eastAsia="楷体_GB2312"/>
          <w:bCs/>
          <w:color w:val="000000"/>
          <w:sz w:val="32"/>
          <w:szCs w:val="32"/>
        </w:rPr>
        <w:t>等</w:t>
      </w:r>
      <w:r>
        <w:rPr>
          <w:rFonts w:ascii="Times New Roman" w:hAnsi="Times New Roman" w:eastAsia="楷体_GB2312"/>
          <w:bCs/>
          <w:color w:val="000000"/>
          <w:sz w:val="32"/>
          <w:szCs w:val="32"/>
        </w:rPr>
        <w:t>按职责分工负责）</w:t>
      </w:r>
    </w:p>
    <w:p w14:paraId="5020F5B9">
      <w:pPr>
        <w:adjustRightInd w:val="0"/>
        <w:snapToGrid w:val="0"/>
        <w:spacing w:line="600" w:lineRule="exact"/>
        <w:ind w:firstLine="640" w:firstLineChars="200"/>
        <w:rPr>
          <w:rFonts w:ascii="Times New Roman" w:hAnsi="Times New Roman" w:eastAsia="楷体_GB2312"/>
          <w:bCs/>
          <w:color w:val="000000"/>
          <w:sz w:val="32"/>
          <w:szCs w:val="32"/>
        </w:rPr>
      </w:pPr>
      <w:r>
        <w:rPr>
          <w:rFonts w:hint="eastAsia" w:ascii="Times New Roman" w:hAnsi="Times New Roman" w:eastAsia="黑体"/>
          <w:bCs/>
          <w:color w:val="000000"/>
          <w:sz w:val="32"/>
          <w:szCs w:val="32"/>
        </w:rPr>
        <w:t>十、</w:t>
      </w:r>
      <w:r>
        <w:rPr>
          <w:rFonts w:ascii="Times New Roman" w:hAnsi="Times New Roman" w:eastAsia="黑体"/>
          <w:bCs/>
          <w:color w:val="000000"/>
          <w:sz w:val="32"/>
          <w:szCs w:val="32"/>
        </w:rPr>
        <w:t>提升安全治理能力。</w:t>
      </w:r>
      <w:r>
        <w:rPr>
          <w:rFonts w:ascii="Times New Roman" w:hAnsi="Times New Roman" w:eastAsia="仿宋_GB2312"/>
          <w:bCs/>
          <w:color w:val="000000"/>
          <w:sz w:val="32"/>
          <w:szCs w:val="32"/>
        </w:rPr>
        <w:t>建立健全人工智能安全监管体系，推动人工智能备案联审机制，明确部门职责与审查流程，培育模型安全、数据安全、算法安全和应用安全等方面服务。加强人工智能伦理风险预警和治理研究，加强区域科技伦理审查中心建设，开展人工智能伦理风险评估和专家复核。加强人工智能应用就业风险评估，引导创新资源向创造就业潜力大的方向倾斜，减少对就业的冲击。建立人工智能安全应急响应机制，提升安全事件处置能力。</w:t>
      </w:r>
      <w:r>
        <w:rPr>
          <w:rFonts w:ascii="Times New Roman" w:hAnsi="Times New Roman" w:eastAsia="楷体_GB2312"/>
          <w:bCs/>
          <w:color w:val="000000"/>
          <w:sz w:val="32"/>
          <w:szCs w:val="32"/>
        </w:rPr>
        <w:t>（责任单位：省委网信办、省科技厅、省工业和信息化厅、省公安厅、省人力资源社会保障厅、省数据局</w:t>
      </w:r>
      <w:r>
        <w:rPr>
          <w:rFonts w:hint="eastAsia" w:ascii="Times New Roman" w:hAnsi="Times New Roman" w:eastAsia="楷体_GB2312"/>
          <w:bCs/>
          <w:color w:val="000000"/>
          <w:sz w:val="32"/>
          <w:szCs w:val="32"/>
        </w:rPr>
        <w:t>等</w:t>
      </w:r>
      <w:r>
        <w:rPr>
          <w:rFonts w:ascii="Times New Roman" w:hAnsi="Times New Roman" w:eastAsia="楷体_GB2312"/>
          <w:bCs/>
          <w:color w:val="000000"/>
          <w:sz w:val="32"/>
          <w:szCs w:val="32"/>
        </w:rPr>
        <w:t>按职责分工负责）</w:t>
      </w:r>
    </w:p>
    <w:p w14:paraId="695E7A0D">
      <w:pPr>
        <w:adjustRightInd w:val="0"/>
        <w:snapToGrid w:val="0"/>
        <w:spacing w:line="60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以上政策措施（算力券政策除外）与我省其他同类政策措施不重复享受，支持标准不一致的，按照</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就高原则</w:t>
      </w:r>
      <w:r>
        <w:rPr>
          <w:rFonts w:hint="eastAsia" w:ascii="仿宋_GB2312" w:hAnsi="Times New Roman" w:eastAsia="仿宋_GB2312"/>
          <w:bCs/>
          <w:color w:val="000000"/>
          <w:sz w:val="32"/>
          <w:szCs w:val="32"/>
        </w:rPr>
        <w:t>”</w:t>
      </w:r>
      <w:r>
        <w:rPr>
          <w:rFonts w:ascii="Times New Roman" w:hAnsi="Times New Roman" w:eastAsia="仿宋_GB2312"/>
          <w:bCs/>
          <w:color w:val="000000"/>
          <w:sz w:val="32"/>
          <w:szCs w:val="32"/>
        </w:rPr>
        <w:t>执行。本政策措施自发布之日起实施，有效期</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年。</w:t>
      </w:r>
    </w:p>
    <w:p w14:paraId="3DA0F3FE">
      <w:pPr>
        <w:pStyle w:val="28"/>
        <w:spacing w:line="640" w:lineRule="exact"/>
        <w:ind w:firstLine="883"/>
        <w:rPr>
          <w:b/>
          <w:color w:val="000000"/>
          <w:sz w:val="44"/>
          <w:szCs w:val="44"/>
        </w:rPr>
      </w:pPr>
    </w:p>
    <w:p w14:paraId="78584F62">
      <w:pPr>
        <w:rPr>
          <w:rFonts w:ascii="Times New Roman" w:hAnsi="Times New Roman"/>
        </w:rPr>
      </w:pPr>
    </w:p>
    <w:p w14:paraId="02DD3295">
      <w:pPr>
        <w:pStyle w:val="15"/>
        <w:shd w:val="clear" w:color="auto" w:fill="FFFFFF"/>
        <w:spacing w:before="0" w:beforeAutospacing="0" w:after="0" w:afterAutospacing="0" w:line="600" w:lineRule="exact"/>
        <w:jc w:val="both"/>
        <w:rPr>
          <w:rFonts w:ascii="Times New Roman" w:hAnsi="Times New Roman" w:eastAsia="仿宋_GB2312"/>
          <w:color w:val="000000"/>
          <w:sz w:val="28"/>
          <w:szCs w:val="28"/>
        </w:rPr>
      </w:pPr>
    </w:p>
    <w:sectPr>
      <w:footerReference r:id="rId3" w:type="default"/>
      <w:pgSz w:w="11906" w:h="16838"/>
      <w:pgMar w:top="1701" w:right="1417" w:bottom="1417" w:left="1417"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529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091ED">
                          <w:pPr>
                            <w:pStyle w:val="24"/>
                            <w:rPr>
                              <w:rFonts w:ascii="宋体" w:hAnsi="宋体" w:eastAsia="宋体" w:cs="宋体"/>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hint="eastAsia"/>
                            </w:rPr>
                            <w:t xml:space="preserve"> —</w:t>
                          </w:r>
                        </w:p>
                      </w:txbxContent>
                    </wps:txbx>
                    <wps:bodyPr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GAgg1QEAALIDAAAOAAAAAAAAAAEAIAAAAB4B&#10;AABkcnMvZTJvRG9jLnhtbFBLBQYAAAAABgAGAFkBAABlBQAAAAA=&#10;">
              <v:fill on="f" focussize="0,0"/>
              <v:stroke on="f"/>
              <v:imagedata o:title=""/>
              <o:lock v:ext="edit" aspectratio="f"/>
              <v:textbox inset="0mm,0mm,0mm,0mm" style="mso-fit-shape-to-text:t;">
                <w:txbxContent>
                  <w:p w14:paraId="523091ED">
                    <w:pPr>
                      <w:pStyle w:val="24"/>
                      <w:rPr>
                        <w:rFonts w:ascii="宋体" w:hAnsi="宋体" w:eastAsia="宋体" w:cs="宋体"/>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172A27"/>
    <w:rsid w:val="00046FEF"/>
    <w:rsid w:val="000B1531"/>
    <w:rsid w:val="000E3447"/>
    <w:rsid w:val="001422C7"/>
    <w:rsid w:val="00172A27"/>
    <w:rsid w:val="00183B15"/>
    <w:rsid w:val="00393F1A"/>
    <w:rsid w:val="0045161A"/>
    <w:rsid w:val="004D3158"/>
    <w:rsid w:val="004E03D6"/>
    <w:rsid w:val="005453A6"/>
    <w:rsid w:val="005A7EFB"/>
    <w:rsid w:val="005C6E17"/>
    <w:rsid w:val="00622BD6"/>
    <w:rsid w:val="00761D12"/>
    <w:rsid w:val="00816D25"/>
    <w:rsid w:val="00872990"/>
    <w:rsid w:val="008A471B"/>
    <w:rsid w:val="008C6863"/>
    <w:rsid w:val="008E7208"/>
    <w:rsid w:val="008E7844"/>
    <w:rsid w:val="00901DFE"/>
    <w:rsid w:val="009633FE"/>
    <w:rsid w:val="00972A97"/>
    <w:rsid w:val="00974510"/>
    <w:rsid w:val="00982F7D"/>
    <w:rsid w:val="009C3C26"/>
    <w:rsid w:val="00A70814"/>
    <w:rsid w:val="00AB14A5"/>
    <w:rsid w:val="00B60C31"/>
    <w:rsid w:val="00B74F44"/>
    <w:rsid w:val="00C9297D"/>
    <w:rsid w:val="00DE77B3"/>
    <w:rsid w:val="00E038EE"/>
    <w:rsid w:val="00EC4392"/>
    <w:rsid w:val="00F35B17"/>
    <w:rsid w:val="00FD1745"/>
    <w:rsid w:val="014E1983"/>
    <w:rsid w:val="05081848"/>
    <w:rsid w:val="056F3940"/>
    <w:rsid w:val="0A9354BD"/>
    <w:rsid w:val="0C801C51"/>
    <w:rsid w:val="0E4D2AEF"/>
    <w:rsid w:val="0F7D056A"/>
    <w:rsid w:val="17815E37"/>
    <w:rsid w:val="17E950E9"/>
    <w:rsid w:val="19A6893B"/>
    <w:rsid w:val="1A7F7A16"/>
    <w:rsid w:val="1A932F59"/>
    <w:rsid w:val="1AB8658D"/>
    <w:rsid w:val="1CF233F7"/>
    <w:rsid w:val="1DFBDD1D"/>
    <w:rsid w:val="1EFF124F"/>
    <w:rsid w:val="21FB6297"/>
    <w:rsid w:val="22116F5E"/>
    <w:rsid w:val="229420A3"/>
    <w:rsid w:val="246D47B1"/>
    <w:rsid w:val="24AA483E"/>
    <w:rsid w:val="26FFED67"/>
    <w:rsid w:val="2A550252"/>
    <w:rsid w:val="2BFD7CA5"/>
    <w:rsid w:val="311805BE"/>
    <w:rsid w:val="33BF0D40"/>
    <w:rsid w:val="36AC3A28"/>
    <w:rsid w:val="36C1193B"/>
    <w:rsid w:val="37FF191F"/>
    <w:rsid w:val="387404C0"/>
    <w:rsid w:val="39135321"/>
    <w:rsid w:val="3AFBE9B6"/>
    <w:rsid w:val="3E8B4709"/>
    <w:rsid w:val="3EF7C5B9"/>
    <w:rsid w:val="3FAD1E42"/>
    <w:rsid w:val="42DF27AE"/>
    <w:rsid w:val="44B91A70"/>
    <w:rsid w:val="46E2315D"/>
    <w:rsid w:val="489F5051"/>
    <w:rsid w:val="4BBF218B"/>
    <w:rsid w:val="52A477F2"/>
    <w:rsid w:val="538F60C5"/>
    <w:rsid w:val="562C1F16"/>
    <w:rsid w:val="56CFB11A"/>
    <w:rsid w:val="56FC2A0A"/>
    <w:rsid w:val="577EEEDC"/>
    <w:rsid w:val="5A9CA3F5"/>
    <w:rsid w:val="5BDB54CC"/>
    <w:rsid w:val="5CDE1B06"/>
    <w:rsid w:val="5DDEC18D"/>
    <w:rsid w:val="5F7CEA76"/>
    <w:rsid w:val="600018A0"/>
    <w:rsid w:val="621B17BC"/>
    <w:rsid w:val="65F01422"/>
    <w:rsid w:val="683B1424"/>
    <w:rsid w:val="6FAF6E26"/>
    <w:rsid w:val="6FCF2017"/>
    <w:rsid w:val="6FFF6722"/>
    <w:rsid w:val="71AF1775"/>
    <w:rsid w:val="720B1920"/>
    <w:rsid w:val="73F3EDF8"/>
    <w:rsid w:val="73FE4FBA"/>
    <w:rsid w:val="74FFDDA2"/>
    <w:rsid w:val="7605777B"/>
    <w:rsid w:val="763F6E0A"/>
    <w:rsid w:val="767F2B35"/>
    <w:rsid w:val="769BECC3"/>
    <w:rsid w:val="777760B3"/>
    <w:rsid w:val="77A80777"/>
    <w:rsid w:val="77DF875A"/>
    <w:rsid w:val="7AEA81D4"/>
    <w:rsid w:val="7BB978E7"/>
    <w:rsid w:val="7BFB35BF"/>
    <w:rsid w:val="7BFC684C"/>
    <w:rsid w:val="7BFF56F6"/>
    <w:rsid w:val="7D960E6B"/>
    <w:rsid w:val="7DE59847"/>
    <w:rsid w:val="7E3F13F6"/>
    <w:rsid w:val="7E6A30FF"/>
    <w:rsid w:val="7EEF5505"/>
    <w:rsid w:val="7EFE0B6A"/>
    <w:rsid w:val="7EFFB2A7"/>
    <w:rsid w:val="7F3F702A"/>
    <w:rsid w:val="7F9F2FAB"/>
    <w:rsid w:val="7FB8F7A8"/>
    <w:rsid w:val="7FEEB717"/>
    <w:rsid w:val="7FEFBE65"/>
    <w:rsid w:val="977CE7B2"/>
    <w:rsid w:val="9B7FF6E8"/>
    <w:rsid w:val="BBF772F2"/>
    <w:rsid w:val="BFFF1891"/>
    <w:rsid w:val="CC7B303D"/>
    <w:rsid w:val="D3BEFF8A"/>
    <w:rsid w:val="D7B5C40F"/>
    <w:rsid w:val="D7F5B02D"/>
    <w:rsid w:val="D7FBFA27"/>
    <w:rsid w:val="DBFC0634"/>
    <w:rsid w:val="DEFFEECD"/>
    <w:rsid w:val="DF6FBC33"/>
    <w:rsid w:val="DFFFBFC0"/>
    <w:rsid w:val="EB5EC80E"/>
    <w:rsid w:val="EF7BE577"/>
    <w:rsid w:val="EFFB5484"/>
    <w:rsid w:val="EFFF094A"/>
    <w:rsid w:val="F9EF497A"/>
    <w:rsid w:val="FB7FF212"/>
    <w:rsid w:val="FB9BA85D"/>
    <w:rsid w:val="FBFF144D"/>
    <w:rsid w:val="FCFBB6F1"/>
    <w:rsid w:val="FF7F0EE3"/>
    <w:rsid w:val="FFDFE39E"/>
    <w:rsid w:val="FFEEF1A7"/>
    <w:rsid w:val="FFF7D60D"/>
    <w:rsid w:val="FFFD9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pPr>
      <w:jc w:val="center"/>
    </w:pPr>
    <w:rPr>
      <w:rFonts w:eastAsia="方正大标宋简体"/>
      <w:sz w:val="44"/>
    </w:rPr>
  </w:style>
  <w:style w:type="paragraph" w:styleId="4">
    <w:name w:val="Normal Indent"/>
    <w:basedOn w:val="1"/>
    <w:next w:val="1"/>
    <w:qFormat/>
    <w:uiPriority w:val="99"/>
    <w:pPr>
      <w:ind w:firstLine="420"/>
    </w:pPr>
    <w:rPr>
      <w:rFonts w:ascii="Times New Roman" w:hAnsi="Times New Roman" w:eastAsia="仿宋"/>
    </w:rPr>
  </w:style>
  <w:style w:type="paragraph" w:styleId="5">
    <w:name w:val="index 5"/>
    <w:basedOn w:val="1"/>
    <w:next w:val="1"/>
    <w:qFormat/>
    <w:uiPriority w:val="0"/>
    <w:pPr>
      <w:ind w:left="800" w:leftChars="800"/>
    </w:pPr>
    <w:rPr>
      <w:rFonts w:ascii="Times New Roman" w:hAnsi="Times New Roman"/>
    </w:rPr>
  </w:style>
  <w:style w:type="paragraph" w:styleId="6">
    <w:name w:val="Body Text Indent"/>
    <w:basedOn w:val="1"/>
    <w:link w:val="26"/>
    <w:qFormat/>
    <w:uiPriority w:val="0"/>
    <w:pPr>
      <w:spacing w:after="120"/>
      <w:ind w:left="420" w:leftChars="200"/>
    </w:pPr>
  </w:style>
  <w:style w:type="paragraph" w:styleId="7">
    <w:name w:val="Block Text"/>
    <w:basedOn w:val="1"/>
    <w:qFormat/>
    <w:uiPriority w:val="0"/>
    <w:pPr>
      <w:spacing w:after="120"/>
      <w:ind w:left="1440" w:leftChars="700" w:right="1440" w:rightChars="700"/>
    </w:pPr>
  </w:style>
  <w:style w:type="paragraph" w:styleId="8">
    <w:name w:val="Balloon Text"/>
    <w:basedOn w:val="1"/>
    <w:link w:val="30"/>
    <w:qFormat/>
    <w:uiPriority w:val="0"/>
    <w:rPr>
      <w:rFonts w:ascii="Times New Roman" w:hAnsi="Times New Roman"/>
      <w:sz w:val="18"/>
      <w:szCs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next w:val="1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2">
    <w:name w:val="footnote text"/>
    <w:basedOn w:val="1"/>
    <w:link w:val="35"/>
    <w:qFormat/>
    <w:uiPriority w:val="0"/>
    <w:pPr>
      <w:snapToGrid w:val="0"/>
      <w:jc w:val="left"/>
    </w:pPr>
    <w:rPr>
      <w:sz w:val="18"/>
      <w:szCs w:val="18"/>
    </w:rPr>
  </w:style>
  <w:style w:type="paragraph" w:styleId="13">
    <w:name w:val="index 7"/>
    <w:basedOn w:val="1"/>
    <w:next w:val="1"/>
    <w:qFormat/>
    <w:uiPriority w:val="0"/>
    <w:pPr>
      <w:ind w:left="2520"/>
    </w:pPr>
    <w:rPr>
      <w:rFonts w:ascii="Times New Roman" w:hAnsi="Times New Roman"/>
    </w:rPr>
  </w:style>
  <w:style w:type="paragraph" w:styleId="14">
    <w:name w:val="HTML Preformatted"/>
    <w:basedOn w:val="1"/>
    <w:link w:val="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spacing w:before="100" w:beforeAutospacing="1" w:after="100" w:afterAutospacing="1"/>
      <w:jc w:val="left"/>
    </w:pPr>
    <w:rPr>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uiPriority w:val="0"/>
    <w:rPr>
      <w:color w:val="0000FF"/>
      <w:u w:val="single"/>
    </w:rPr>
  </w:style>
  <w:style w:type="character" w:customStyle="1" w:styleId="21">
    <w:name w:val="font71"/>
    <w:basedOn w:val="18"/>
    <w:qFormat/>
    <w:uiPriority w:val="0"/>
    <w:rPr>
      <w:rFonts w:hint="eastAsia" w:ascii="仿宋_GB2312" w:eastAsia="仿宋_GB2312" w:cs="仿宋_GB2312"/>
      <w:color w:val="000000"/>
      <w:sz w:val="32"/>
      <w:szCs w:val="32"/>
      <w:u w:val="none"/>
    </w:rPr>
  </w:style>
  <w:style w:type="character" w:customStyle="1" w:styleId="22">
    <w:name w:val="font01"/>
    <w:basedOn w:val="18"/>
    <w:qFormat/>
    <w:uiPriority w:val="0"/>
    <w:rPr>
      <w:rFonts w:hint="eastAsia" w:ascii="宋体" w:hAnsi="宋体" w:eastAsia="宋体" w:cs="宋体"/>
      <w:color w:val="000000"/>
      <w:sz w:val="32"/>
      <w:szCs w:val="32"/>
      <w:u w:val="none"/>
    </w:rPr>
  </w:style>
  <w:style w:type="paragraph" w:customStyle="1" w:styleId="23">
    <w:name w:val="正文-3号仿宋GB"/>
    <w:basedOn w:val="1"/>
    <w:uiPriority w:val="0"/>
    <w:pPr>
      <w:adjustRightInd w:val="0"/>
      <w:snapToGrid w:val="0"/>
      <w:spacing w:line="600" w:lineRule="exact"/>
      <w:ind w:firstLine="856" w:firstLineChars="200"/>
    </w:pPr>
    <w:rPr>
      <w:rFonts w:ascii="楷体_GB2312" w:hAnsi="楷体_GB2312" w:eastAsia="仿宋_GB2312" w:cs="仿宋_GB2312"/>
      <w:sz w:val="32"/>
      <w:szCs w:val="32"/>
    </w:rPr>
  </w:style>
  <w:style w:type="paragraph" w:customStyle="1" w:styleId="24">
    <w:name w:val="页码-4号仿宋"/>
    <w:basedOn w:val="23"/>
    <w:qFormat/>
    <w:uiPriority w:val="0"/>
    <w:pPr>
      <w:spacing w:line="240" w:lineRule="atLeast"/>
      <w:ind w:left="210" w:leftChars="100" w:right="210" w:rightChars="100" w:firstLine="0" w:firstLineChars="0"/>
    </w:pPr>
    <w:rPr>
      <w:rFonts w:ascii="仿宋_GB2312" w:hAnsi="仿宋_GB2312"/>
      <w:sz w:val="28"/>
      <w:szCs w:val="28"/>
    </w:rPr>
  </w:style>
  <w:style w:type="paragraph" w:customStyle="1" w:styleId="25">
    <w:name w:val="2号小标宋"/>
    <w:basedOn w:val="1"/>
    <w:uiPriority w:val="0"/>
    <w:pPr>
      <w:adjustRightInd w:val="0"/>
      <w:snapToGrid w:val="0"/>
      <w:spacing w:line="700" w:lineRule="exact"/>
      <w:jc w:val="center"/>
    </w:pPr>
    <w:rPr>
      <w:rFonts w:ascii="方正小标宋_GBK" w:hAnsi="方正小标宋_GBK" w:eastAsia="方正小标宋_GBK" w:cs="方正小标宋_GBK"/>
      <w:sz w:val="44"/>
      <w:szCs w:val="22"/>
    </w:rPr>
  </w:style>
  <w:style w:type="character" w:customStyle="1" w:styleId="26">
    <w:name w:val="正文文本缩进 Char"/>
    <w:basedOn w:val="18"/>
    <w:link w:val="6"/>
    <w:qFormat/>
    <w:uiPriority w:val="0"/>
    <w:rPr>
      <w:rFonts w:ascii="Calibri" w:hAnsi="Calibri"/>
      <w:kern w:val="2"/>
      <w:sz w:val="21"/>
      <w:szCs w:val="24"/>
    </w:rPr>
  </w:style>
  <w:style w:type="character" w:customStyle="1" w:styleId="27">
    <w:name w:val="正文文本 Char"/>
    <w:basedOn w:val="18"/>
    <w:link w:val="2"/>
    <w:qFormat/>
    <w:uiPriority w:val="0"/>
    <w:rPr>
      <w:rFonts w:ascii="Calibri" w:hAnsi="Calibri" w:eastAsia="方正大标宋简体"/>
      <w:kern w:val="2"/>
      <w:sz w:val="44"/>
      <w:szCs w:val="24"/>
    </w:rPr>
  </w:style>
  <w:style w:type="paragraph" w:customStyle="1" w:styleId="28">
    <w:name w:val="_Style 22"/>
    <w:basedOn w:val="6"/>
    <w:next w:val="1"/>
    <w:qFormat/>
    <w:uiPriority w:val="0"/>
    <w:pPr>
      <w:spacing w:after="0" w:line="590" w:lineRule="exact"/>
      <w:ind w:left="0" w:leftChars="0" w:firstLine="420" w:firstLineChars="200"/>
    </w:pPr>
    <w:rPr>
      <w:rFonts w:ascii="Times New Roman" w:hAnsi="Times New Roman" w:eastAsia="方正仿宋简体"/>
      <w:sz w:val="32"/>
      <w:szCs w:val="28"/>
    </w:rPr>
  </w:style>
  <w:style w:type="character" w:customStyle="1" w:styleId="29">
    <w:name w:val="批注框文本 Char"/>
    <w:basedOn w:val="18"/>
    <w:link w:val="8"/>
    <w:uiPriority w:val="99"/>
    <w:rPr>
      <w:rFonts w:ascii="Calibri" w:hAnsi="Calibri"/>
      <w:kern w:val="2"/>
      <w:sz w:val="18"/>
      <w:szCs w:val="18"/>
    </w:rPr>
  </w:style>
  <w:style w:type="character" w:customStyle="1" w:styleId="30">
    <w:name w:val="批注框文本 Char1"/>
    <w:link w:val="8"/>
    <w:qFormat/>
    <w:uiPriority w:val="0"/>
    <w:rPr>
      <w:kern w:val="2"/>
      <w:sz w:val="18"/>
      <w:szCs w:val="18"/>
    </w:rPr>
  </w:style>
  <w:style w:type="character" w:customStyle="1" w:styleId="31">
    <w:name w:val="页脚 Char"/>
    <w:basedOn w:val="18"/>
    <w:link w:val="9"/>
    <w:qFormat/>
    <w:uiPriority w:val="0"/>
    <w:rPr>
      <w:rFonts w:ascii="Calibri" w:hAnsi="Calibri"/>
      <w:kern w:val="2"/>
      <w:sz w:val="18"/>
      <w:szCs w:val="24"/>
    </w:rPr>
  </w:style>
  <w:style w:type="character" w:customStyle="1" w:styleId="32">
    <w:name w:val="页眉 Char"/>
    <w:basedOn w:val="18"/>
    <w:link w:val="10"/>
    <w:qFormat/>
    <w:uiPriority w:val="0"/>
    <w:rPr>
      <w:rFonts w:ascii="Calibri" w:hAnsi="Calibri"/>
      <w:kern w:val="2"/>
      <w:sz w:val="18"/>
      <w:szCs w:val="24"/>
    </w:rPr>
  </w:style>
  <w:style w:type="character" w:customStyle="1" w:styleId="33">
    <w:name w:val="HTML 预设格式 Char"/>
    <w:basedOn w:val="18"/>
    <w:link w:val="14"/>
    <w:uiPriority w:val="0"/>
    <w:rPr>
      <w:rFonts w:ascii="宋体" w:hAnsi="宋体"/>
      <w:sz w:val="24"/>
      <w:szCs w:val="24"/>
    </w:rPr>
  </w:style>
  <w:style w:type="character" w:customStyle="1" w:styleId="34">
    <w:name w:val="font51"/>
    <w:qFormat/>
    <w:uiPriority w:val="0"/>
    <w:rPr>
      <w:rFonts w:hint="eastAsia" w:ascii="黑体" w:hAnsi="宋体" w:eastAsia="黑体" w:cs="黑体"/>
      <w:color w:val="000000"/>
      <w:sz w:val="28"/>
      <w:szCs w:val="28"/>
      <w:u w:val="none"/>
    </w:rPr>
  </w:style>
  <w:style w:type="character" w:customStyle="1" w:styleId="35">
    <w:name w:val="脚注文本 Char"/>
    <w:basedOn w:val="18"/>
    <w:link w:val="12"/>
    <w:qFormat/>
    <w:uiPriority w:val="0"/>
    <w:rPr>
      <w:rFonts w:ascii="Calibri" w:hAnsi="Calibri"/>
      <w:kern w:val="2"/>
      <w:sz w:val="18"/>
      <w:szCs w:val="18"/>
    </w:rPr>
  </w:style>
  <w:style w:type="character" w:customStyle="1" w:styleId="36">
    <w:name w:val="脚注文本 字符"/>
    <w:qFormat/>
    <w:uiPriority w:val="0"/>
    <w:rPr>
      <w:rFonts w:ascii="Calibri" w:hAnsi="Calibri"/>
      <w:kern w:val="2"/>
      <w:sz w:val="21"/>
      <w:szCs w:val="18"/>
    </w:rPr>
  </w:style>
  <w:style w:type="paragraph" w:customStyle="1" w:styleId="37">
    <w:name w:val="正文首行缩进1"/>
    <w:basedOn w:val="1"/>
    <w:qFormat/>
    <w:uiPriority w:val="0"/>
    <w:pPr>
      <w:spacing w:after="120"/>
      <w:ind w:firstLine="420" w:firstLineChars="100"/>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11401</Words>
  <Characters>11650</Characters>
  <Lines>4</Lines>
  <Paragraphs>35</Paragraphs>
  <TotalTime>43</TotalTime>
  <ScaleCrop>false</ScaleCrop>
  <LinksUpToDate>false</LinksUpToDate>
  <CharactersWithSpaces>11675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2025-10-16T08:11:00Z</dcterms:created>
  <dc:creator>柳丁</dc:creator>
  <cp:lastModifiedBy>政务中心</cp:lastModifiedBy>
  <cp:lastPrinted>2025-10-16T01:16:00Z</cp:lastPrinted>
  <dcterms:modified xsi:type="dcterms:W3CDTF">2025-10-30T08:05:47Z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1D362654FE9E4715938652FCA2EA303F_13</vt:lpwstr>
  </property>
  <property fmtid="{D5CDD505-2E9C-101B-9397-08002B2CF9AE}" pid="4" name="KSOTemplateDocerSaveRecord">
    <vt:lpwstr>eyJoZGlkIjoiZDdiZGM1ODljZjIxZjY4YTU5ZDMzNGIxNzkwMmVjYzUifQ==</vt:lpwstr>
  </property>
</Properties>
</file>