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afterLines="0" w:line="560" w:lineRule="exact"/>
        <w:ind w:firstLine="0" w:firstLineChars="0"/>
        <w:jc w:val="center"/>
        <w:textAlignment w:val="auto"/>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湖南省虚拟电厂参与电力市场交易实施方案（</w:t>
      </w:r>
      <w:r>
        <w:rPr>
          <w:rFonts w:hint="default" w:ascii="方正小标宋_GBK" w:hAnsi="方正小标宋_GBK" w:eastAsia="方正小标宋_GBK" w:cs="方正小标宋_GBK"/>
          <w:kern w:val="2"/>
          <w:sz w:val="44"/>
          <w:szCs w:val="44"/>
          <w:lang w:val="en-US" w:eastAsia="zh-CN" w:bidi="ar-SA"/>
        </w:rPr>
        <w:t>试行</w:t>
      </w:r>
      <w:r>
        <w:rPr>
          <w:rFonts w:hint="eastAsia" w:ascii="方正小标宋_GBK" w:hAnsi="方正小标宋_GBK" w:eastAsia="方正小标宋_GBK" w:cs="方正小标宋_GBK"/>
          <w:kern w:val="2"/>
          <w:sz w:val="44"/>
          <w:szCs w:val="44"/>
          <w:lang w:val="en-US" w:eastAsia="zh-CN" w:bidi="ar-SA"/>
        </w:rPr>
        <w:t>）</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60" w:lineRule="exact"/>
        <w:ind w:left="0" w:leftChars="0" w:right="0" w:firstLine="640" w:firstLineChars="200"/>
        <w:jc w:val="both"/>
        <w:textAlignment w:val="auto"/>
        <w:rPr>
          <w:rFonts w:hint="eastAsia" w:cs="Times New Roman"/>
          <w:snapToGrid/>
          <w:color w:val="auto"/>
          <w:kern w:val="2"/>
          <w:szCs w:val="24"/>
          <w:lang w:val="en-US" w:eastAsia="zh-CN" w:bidi="ar-SA"/>
        </w:rPr>
      </w:pP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napToGrid/>
          <w:color w:val="auto"/>
          <w:kern w:val="2"/>
          <w:szCs w:val="24"/>
          <w:highlight w:val="yellow"/>
          <w:lang w:val="en-US" w:eastAsia="zh-CN" w:bidi="ar-SA"/>
        </w:rPr>
      </w:pPr>
      <w:r>
        <w:rPr>
          <w:rFonts w:hint="eastAsia" w:cs="Times New Roman"/>
          <w:snapToGrid/>
          <w:color w:val="auto"/>
          <w:kern w:val="2"/>
          <w:szCs w:val="24"/>
          <w:lang w:val="en-US" w:eastAsia="zh-CN" w:bidi="ar-SA"/>
        </w:rPr>
        <w:t>为贯彻落实国家发展改革委、国家能源局《关于支持电力领域新型经营主体创新发展的指导意见》（国能发法改〔2024〕93号）、《关于加快推进虚拟电厂发展的指导意见》（发改能源〔2025〕357号）、《湖南省虚拟电厂管理工作细则》等文件精神，积极培育虚拟电厂等新型经营主体合规有序入市，助力新型电力系统和新型能源体系建设，结合湖南实际，制定本方案。</w:t>
      </w:r>
    </w:p>
    <w:p>
      <w:pPr>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outlineLvl w:val="9"/>
        <w:rPr>
          <w:rFonts w:hint="eastAsia" w:ascii="仿宋_GB2312" w:hAnsi="仿宋_GB2312" w:eastAsia="方正黑体_GBK" w:cs="Times New Roman"/>
          <w:snapToGrid/>
          <w:color w:val="auto"/>
          <w:kern w:val="2"/>
          <w:sz w:val="32"/>
          <w:szCs w:val="32"/>
          <w:lang w:val="en-US" w:eastAsia="zh-CN" w:bidi="ar-SA"/>
        </w:rPr>
      </w:pPr>
      <w:r>
        <w:rPr>
          <w:rFonts w:hint="eastAsia" w:ascii="仿宋_GB2312" w:hAnsi="仿宋_GB2312" w:eastAsia="方正黑体_GBK" w:cs="Times New Roman"/>
          <w:snapToGrid/>
          <w:color w:val="auto"/>
          <w:kern w:val="2"/>
          <w:sz w:val="32"/>
          <w:szCs w:val="32"/>
          <w:lang w:val="en-US" w:eastAsia="zh-CN" w:bidi="ar-SA"/>
        </w:rPr>
        <w:t>一、虚拟电厂市场定位</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虚拟电厂运营商将需求侧可调节负荷、分布式电源、新型储能等各类分散资源聚合后形成虚拟电厂，作为整体参与电力市场。虚拟电厂运营商是虚拟电厂建设、运营和组织的主体，承担虚拟电厂市场权利义务</w:t>
      </w:r>
      <w:r>
        <w:rPr>
          <w:rFonts w:hint="eastAsia" w:cs="Times New Roman"/>
          <w:strike w:val="0"/>
          <w:dstrike w:val="0"/>
          <w:snapToGrid/>
          <w:color w:val="auto"/>
          <w:kern w:val="2"/>
          <w:szCs w:val="24"/>
          <w:lang w:val="en-US" w:eastAsia="zh-CN" w:bidi="ar-SA"/>
        </w:rPr>
        <w:t>、聚合资源调度响应管理</w:t>
      </w:r>
      <w:r>
        <w:rPr>
          <w:rFonts w:hint="eastAsia" w:cs="Times New Roman"/>
          <w:snapToGrid/>
          <w:color w:val="auto"/>
          <w:kern w:val="2"/>
          <w:szCs w:val="24"/>
          <w:lang w:val="en-US" w:eastAsia="zh-CN" w:bidi="ar-SA"/>
        </w:rPr>
        <w:t>等主要责任。</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虚拟电厂与其他经营主体享有平等的市场地位，按照市场规则依法、合规、公</w:t>
      </w:r>
      <w:r>
        <w:rPr>
          <w:rFonts w:hint="eastAsia" w:cs="Times New Roman"/>
          <w:snapToGrid/>
          <w:color w:val="auto"/>
          <w:kern w:val="2"/>
          <w:szCs w:val="24"/>
          <w:highlight w:val="none"/>
          <w:lang w:val="en-US" w:eastAsia="zh-CN" w:bidi="ar-SA"/>
        </w:rPr>
        <w:t>平参与电能量、绿电绿证、辅助服务等各类市场交易，实现协同调度并承担偏差结算。</w:t>
      </w:r>
    </w:p>
    <w:p>
      <w:pPr>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outlineLvl w:val="9"/>
        <w:rPr>
          <w:rFonts w:hint="eastAsia" w:ascii="仿宋_GB2312" w:hAnsi="仿宋_GB2312" w:eastAsia="方正黑体_GBK" w:cs="Times New Roman"/>
          <w:snapToGrid/>
          <w:color w:val="auto"/>
          <w:kern w:val="2"/>
          <w:sz w:val="32"/>
          <w:szCs w:val="32"/>
          <w:lang w:val="en-US" w:eastAsia="zh-CN" w:bidi="ar-SA"/>
        </w:rPr>
      </w:pPr>
      <w:r>
        <w:rPr>
          <w:rFonts w:hint="eastAsia" w:ascii="仿宋_GB2312" w:hAnsi="仿宋_GB2312" w:eastAsia="方正黑体_GBK" w:cs="Times New Roman"/>
          <w:snapToGrid/>
          <w:color w:val="auto"/>
          <w:kern w:val="2"/>
          <w:sz w:val="32"/>
          <w:szCs w:val="32"/>
          <w:lang w:val="en-US" w:eastAsia="zh-CN" w:bidi="ar-SA"/>
        </w:rPr>
        <w:t>二、虚拟电厂及其所聚合资源分类</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（一）聚合资源类型</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虚拟电厂现阶段主要聚合分布式电源、新型储能等</w:t>
      </w:r>
      <w:r>
        <w:rPr>
          <w:rFonts w:hint="eastAsia"/>
          <w:snapToGrid/>
          <w:color w:val="auto"/>
          <w:kern w:val="2"/>
          <w:szCs w:val="24"/>
          <w:lang w:eastAsia="zh-CN"/>
        </w:rPr>
        <w:t>电力调度机构管辖范围之外</w:t>
      </w:r>
      <w:r>
        <w:rPr>
          <w:rFonts w:hint="eastAsia" w:cs="Times New Roman"/>
          <w:snapToGrid/>
          <w:color w:val="auto"/>
          <w:kern w:val="2"/>
          <w:szCs w:val="24"/>
          <w:lang w:val="en-US" w:eastAsia="zh-CN" w:bidi="ar-SA"/>
        </w:rPr>
        <w:t>的分布式资源和具备负荷调节能力的市场化用户。聚合资源应为具有电网企业独立户号、在电力交易平台注册的经营主体（以下简称“聚合资源主体”）。</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将虚拟电厂聚合资源分为发电类资源、负荷类资源两类：</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发电类资源。符合国家及我省分布式电源有关政策及相关规则，具备独立上网关口的分布式电源，</w:t>
      </w:r>
      <w:r>
        <w:rPr>
          <w:rFonts w:hint="eastAsia" w:cs="Times New Roman"/>
          <w:b w:val="0"/>
          <w:bCs w:val="0"/>
          <w:snapToGrid/>
          <w:color w:val="auto"/>
          <w:kern w:val="2"/>
          <w:szCs w:val="24"/>
          <w:lang w:val="en-US" w:eastAsia="zh-CN" w:bidi="ar-SA"/>
        </w:rPr>
        <w:t>应具备“可观、可测、可调、可控”能力</w:t>
      </w:r>
      <w:r>
        <w:rPr>
          <w:rFonts w:hint="eastAsia" w:cs="Times New Roman"/>
          <w:snapToGrid/>
          <w:color w:val="auto"/>
          <w:kern w:val="2"/>
          <w:szCs w:val="24"/>
          <w:lang w:val="en-US" w:eastAsia="zh-CN" w:bidi="ar-SA"/>
        </w:rPr>
        <w:t>。</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负荷类资源。执行我省工商业用电价格且具备调节能力的市场化用户，包括但不限于配置分布式电源、用户侧储能的电力用户、电动汽车充电设施、蓄热蓄冷、常规工业可调节负荷、商业楼宇用户等。</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default"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（二）虚拟电厂分类</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napToGrid/>
          <w:color w:val="auto"/>
          <w:kern w:val="2"/>
          <w:szCs w:val="24"/>
          <w:lang w:val="en-US" w:eastAsia="zh-CN" w:bidi="ar-SA"/>
        </w:rPr>
      </w:pPr>
      <w:r>
        <w:rPr>
          <w:rFonts w:hint="eastAsia" w:cs="Times New Roman"/>
          <w:snapToGrid/>
          <w:color w:val="auto"/>
          <w:kern w:val="2"/>
          <w:szCs w:val="24"/>
          <w:lang w:val="en-US" w:eastAsia="zh-CN" w:bidi="ar-SA"/>
        </w:rPr>
        <w:t>根据虚拟电厂聚合对象的类别,可分为“电源型”、“负荷型”和“混合型”。其中，“电源型”虚拟电厂聚合对象仅为分布式电源，“负荷型”虚拟电厂聚合对象仅包含市场化用户，“混合型”虚拟电厂聚合对象包括分布式电源与市场化用户。</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（三）聚合单元分类</w:t>
      </w:r>
    </w:p>
    <w:p>
      <w:pPr>
        <w:pStyle w:val="8"/>
        <w:widowControl w:val="0"/>
        <w:kinsoku/>
        <w:autoSpaceDE/>
        <w:autoSpaceDN/>
        <w:spacing w:afterLines="0" w:line="580" w:lineRule="exact"/>
        <w:ind w:firstLine="640" w:firstLineChars="200"/>
        <w:jc w:val="both"/>
        <w:textAlignment w:val="auto"/>
        <w:rPr>
          <w:rFonts w:hint="default"/>
          <w:color w:val="FF0000"/>
          <w:lang w:val="en-US" w:eastAsia="zh-CN"/>
        </w:rPr>
      </w:pPr>
      <w:r>
        <w:rPr>
          <w:rFonts w:hint="eastAsia" w:cs="Times New Roman"/>
          <w:snapToGrid/>
          <w:color w:val="auto"/>
          <w:kern w:val="2"/>
          <w:szCs w:val="24"/>
          <w:highlight w:val="none"/>
          <w:lang w:val="en-US" w:eastAsia="zh-CN" w:bidi="ar-SA"/>
        </w:rPr>
        <w:t>虚拟电厂以聚合单元的形式参与电力市场交易。市场初期，</w:t>
      </w:r>
      <w:r>
        <w:rPr>
          <w:rFonts w:hint="eastAsia"/>
          <w:lang w:val="en-US" w:eastAsia="zh-CN"/>
        </w:rPr>
        <w:t>电源型虚拟电厂仅能组建一个发电聚合单元，负荷型虚拟电厂仅能组建一个用电聚合单元，混合型虚拟电厂可组建发、用电聚合单元各一个。根据市场建设进展，推动虚拟电厂按节点聚合，同一虚拟电厂可组建多个聚合单元。</w:t>
      </w:r>
    </w:p>
    <w:p>
      <w:pPr>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outlineLvl w:val="9"/>
        <w:rPr>
          <w:rFonts w:hint="eastAsia" w:ascii="仿宋_GB2312" w:hAnsi="仿宋_GB2312" w:eastAsia="方正黑体_GBK" w:cs="Times New Roman"/>
          <w:snapToGrid/>
          <w:color w:val="auto"/>
          <w:kern w:val="2"/>
          <w:sz w:val="32"/>
          <w:szCs w:val="32"/>
          <w:lang w:val="en-US" w:eastAsia="zh-CN" w:bidi="ar-SA"/>
        </w:rPr>
      </w:pPr>
      <w:r>
        <w:rPr>
          <w:rFonts w:hint="eastAsia" w:ascii="仿宋_GB2312" w:hAnsi="仿宋_GB2312" w:eastAsia="方正黑体_GBK" w:cs="Times New Roman"/>
          <w:snapToGrid/>
          <w:color w:val="auto"/>
          <w:kern w:val="2"/>
          <w:sz w:val="32"/>
          <w:szCs w:val="32"/>
          <w:lang w:val="en-US" w:eastAsia="zh-CN" w:bidi="ar-SA"/>
        </w:rPr>
        <w:t>三、虚拟电厂市场注册</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湖南省虚拟电厂和聚合资源主体参与电力市场交易，均应符合湖南省市场规则、管理细则及本方案的有关要求，需在湖南省电力负荷管理中心通过虚拟电厂能力测试，并在湖南电力交易中心办理市场注册手续生效后，方可参与各类电力市场交易。虚拟电厂与聚合资源主体应分别注册。</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（一）注册条件</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highlight w:val="none"/>
          <w:lang w:val="en-US" w:eastAsia="zh-CN" w:bidi="ar-SA"/>
        </w:rPr>
      </w:pPr>
      <w:r>
        <w:rPr>
          <w:rFonts w:hint="eastAsia" w:cs="Times New Roman"/>
          <w:snapToGrid/>
          <w:color w:val="auto"/>
          <w:kern w:val="2"/>
          <w:szCs w:val="24"/>
          <w:lang w:val="en-US" w:eastAsia="zh-CN" w:bidi="ar-SA"/>
        </w:rPr>
        <w:t>虚拟电厂在电力中长期市场、现货市场开展购售电业务，</w:t>
      </w:r>
      <w:r>
        <w:rPr>
          <w:rFonts w:hint="eastAsia" w:cs="Times New Roman"/>
          <w:snapToGrid/>
          <w:color w:val="auto"/>
          <w:kern w:val="2"/>
          <w:szCs w:val="24"/>
          <w:highlight w:val="none"/>
          <w:lang w:val="en-US" w:eastAsia="zh-CN" w:bidi="ar-SA"/>
        </w:rPr>
        <w:t>应具备售电公司资质，电力、电量数据具备分时计量与传输条件。</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highlight w:val="none"/>
          <w:lang w:val="en-US" w:eastAsia="zh-CN" w:bidi="ar-SA"/>
        </w:rPr>
      </w:pPr>
      <w:r>
        <w:rPr>
          <w:rFonts w:hint="eastAsia" w:cs="Times New Roman"/>
          <w:snapToGrid/>
          <w:color w:val="auto"/>
          <w:kern w:val="2"/>
          <w:szCs w:val="24"/>
          <w:highlight w:val="none"/>
          <w:lang w:val="en-US" w:eastAsia="zh-CN" w:bidi="ar-SA"/>
        </w:rPr>
        <w:t>现阶段，全省范围内具备分时计量条件的分布式电源可通过虚拟电厂分地区聚合参与交易。根据市场建设需要，可考虑按220千伏母线节点分类聚合。</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trike w:val="0"/>
          <w:dstrike w:val="0"/>
          <w:snapToGrid/>
          <w:color w:val="auto"/>
          <w:kern w:val="2"/>
          <w:szCs w:val="24"/>
          <w:highlight w:val="none"/>
          <w:lang w:val="en-US" w:eastAsia="zh-CN" w:bidi="ar-SA"/>
        </w:rPr>
      </w:pPr>
      <w:r>
        <w:rPr>
          <w:rFonts w:hint="eastAsia" w:cs="Times New Roman"/>
          <w:snapToGrid/>
          <w:color w:val="auto"/>
          <w:kern w:val="2"/>
          <w:szCs w:val="24"/>
          <w:highlight w:val="none"/>
          <w:lang w:val="en-US" w:eastAsia="zh-CN" w:bidi="ar-SA"/>
        </w:rPr>
        <w:t>单个虚拟电厂需满足用电单元的调节容量不小于10兆瓦（上调、下调或上下调调节容量之和）、连续响应时间不低于1小时的准入条件，调节容量应不小于正常用电负荷的10%。</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highlight w:val="none"/>
          <w:lang w:val="en-US" w:eastAsia="zh-CN" w:bidi="ar-SA"/>
        </w:rPr>
      </w:pPr>
      <w:r>
        <w:rPr>
          <w:rFonts w:hint="eastAsia" w:ascii="Calibri" w:hAnsi="Calibri" w:eastAsia="方正楷体_GBK" w:cs="Times New Roman"/>
          <w:b w:val="0"/>
          <w:snapToGrid/>
          <w:color w:val="auto"/>
          <w:kern w:val="2"/>
          <w:sz w:val="32"/>
          <w:highlight w:val="none"/>
          <w:lang w:val="en-US" w:eastAsia="zh-CN" w:bidi="ar-SA"/>
        </w:rPr>
        <w:t>（二）注册流程</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highlight w:val="none"/>
          <w:lang w:val="en-US" w:eastAsia="zh-CN" w:bidi="ar-SA"/>
        </w:rPr>
        <w:t>虚拟电厂市场注册按照申请、承诺、审查、公示、生效的流程办理。</w:t>
      </w:r>
      <w:r>
        <w:rPr>
          <w:rFonts w:hint="eastAsia" w:cs="Times New Roman"/>
          <w:snapToGrid/>
          <w:color w:val="auto"/>
          <w:kern w:val="2"/>
          <w:szCs w:val="24"/>
          <w:lang w:val="en-US" w:eastAsia="zh-CN" w:bidi="ar-SA"/>
        </w:rPr>
        <w:t>虚拟电厂及其聚合资源主体应同步办理市场注册手续，</w:t>
      </w:r>
      <w:r>
        <w:rPr>
          <w:rFonts w:hint="eastAsia" w:cs="Times New Roman"/>
          <w:snapToGrid/>
          <w:color w:val="auto"/>
          <w:kern w:val="2"/>
          <w:szCs w:val="24"/>
          <w:highlight w:val="none"/>
          <w:lang w:val="en-US" w:eastAsia="zh-CN" w:bidi="ar-SA"/>
        </w:rPr>
        <w:t>虚拟电厂运营商应向</w:t>
      </w:r>
      <w:r>
        <w:rPr>
          <w:rFonts w:hint="eastAsia" w:cs="Times New Roman"/>
          <w:snapToGrid/>
          <w:color w:val="auto"/>
          <w:kern w:val="2"/>
          <w:szCs w:val="24"/>
          <w:lang w:val="en-US" w:eastAsia="zh-CN" w:bidi="ar-SA"/>
        </w:rPr>
        <w:t>湖南电力</w:t>
      </w:r>
      <w:r>
        <w:rPr>
          <w:rFonts w:hint="eastAsia" w:cs="Times New Roman"/>
          <w:snapToGrid/>
          <w:color w:val="auto"/>
          <w:kern w:val="2"/>
          <w:szCs w:val="24"/>
          <w:highlight w:val="none"/>
          <w:lang w:val="en-US" w:eastAsia="zh-CN" w:bidi="ar-SA"/>
        </w:rPr>
        <w:t>交易中心提交有关注册资料，资料清单与模板详见附件1。</w:t>
      </w:r>
      <w:r>
        <w:rPr>
          <w:rFonts w:hint="eastAsia" w:cs="Times New Roman"/>
          <w:snapToGrid/>
          <w:color w:val="auto"/>
          <w:kern w:val="2"/>
          <w:szCs w:val="24"/>
          <w:lang w:val="en-US" w:eastAsia="zh-CN" w:bidi="ar-SA"/>
        </w:rPr>
        <w:t>湖南电力交易中心在收到注册资料之</w:t>
      </w:r>
      <w:r>
        <w:rPr>
          <w:rFonts w:hint="eastAsia" w:cs="Times New Roman"/>
          <w:snapToGrid/>
          <w:color w:val="auto"/>
          <w:kern w:val="2"/>
          <w:szCs w:val="24"/>
          <w:highlight w:val="none"/>
          <w:lang w:val="en-US" w:eastAsia="zh-CN" w:bidi="ar-SA"/>
        </w:rPr>
        <w:t>日起5个工作</w:t>
      </w:r>
      <w:r>
        <w:rPr>
          <w:rFonts w:hint="eastAsia" w:cs="Times New Roman"/>
          <w:snapToGrid/>
          <w:color w:val="auto"/>
          <w:kern w:val="2"/>
          <w:szCs w:val="24"/>
          <w:lang w:val="en-US" w:eastAsia="zh-CN" w:bidi="ar-SA"/>
        </w:rPr>
        <w:t>日内</w:t>
      </w:r>
      <w:r>
        <w:rPr>
          <w:rFonts w:hint="eastAsia"/>
          <w:snapToGrid/>
          <w:color w:val="auto"/>
          <w:kern w:val="2"/>
          <w:szCs w:val="24"/>
          <w:lang w:eastAsia="zh-CN"/>
        </w:rPr>
        <w:t>进行审查，必要时对经营主体进行现场核验。对于市场注册材料不符合要求的，</w:t>
      </w:r>
      <w:r>
        <w:rPr>
          <w:rFonts w:hint="eastAsia" w:cs="Times New Roman"/>
          <w:snapToGrid/>
          <w:color w:val="auto"/>
          <w:kern w:val="2"/>
          <w:szCs w:val="24"/>
          <w:lang w:val="en-US" w:eastAsia="zh-CN" w:bidi="ar-SA"/>
        </w:rPr>
        <w:t>湖南电力交易中心</w:t>
      </w:r>
      <w:r>
        <w:rPr>
          <w:rFonts w:hint="eastAsia"/>
          <w:snapToGrid/>
          <w:color w:val="auto"/>
          <w:kern w:val="2"/>
          <w:szCs w:val="24"/>
          <w:lang w:eastAsia="zh-CN"/>
        </w:rPr>
        <w:t>应将驳回原因一次性告知，经营主体根据驳回原因对注册材料进行补充和完善，并重新提交注册申请</w:t>
      </w:r>
      <w:r>
        <w:rPr>
          <w:rFonts w:hint="eastAsia" w:cs="Times New Roman"/>
          <w:snapToGrid/>
          <w:color w:val="auto"/>
          <w:kern w:val="2"/>
          <w:szCs w:val="24"/>
          <w:lang w:val="en-US" w:eastAsia="zh-CN" w:bidi="ar-SA"/>
        </w:rPr>
        <w:t>。</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湖南电力交易中心通过交</w:t>
      </w:r>
      <w:r>
        <w:rPr>
          <w:rFonts w:hint="eastAsia" w:cs="Times New Roman"/>
          <w:snapToGrid/>
          <w:color w:val="auto"/>
          <w:kern w:val="2"/>
          <w:szCs w:val="24"/>
          <w:highlight w:val="none"/>
          <w:lang w:val="en-US" w:eastAsia="zh-CN" w:bidi="ar-SA"/>
        </w:rPr>
        <w:t>易平台、“信用中国”网站等政府指定网站，将虚拟电厂满足注册条件的信息、材料和信用承诺书向社会公示，公示期为1个月。公示期满无异议的虚拟电厂，注册手续自动生效。聚合资源主体市场</w:t>
      </w:r>
      <w:r>
        <w:rPr>
          <w:rFonts w:hint="eastAsia" w:cs="Times New Roman"/>
          <w:snapToGrid/>
          <w:color w:val="auto"/>
          <w:kern w:val="2"/>
          <w:szCs w:val="24"/>
          <w:lang w:val="en-US" w:eastAsia="zh-CN" w:bidi="ar-SA"/>
        </w:rPr>
        <w:t>注册审查通过的，原则上无需公示，注册手续直接生效。湖南电力交易中心将</w:t>
      </w:r>
      <w:r>
        <w:rPr>
          <w:rFonts w:hint="eastAsia"/>
          <w:snapToGrid/>
          <w:color w:val="auto"/>
          <w:kern w:val="2"/>
          <w:szCs w:val="24"/>
          <w:lang w:eastAsia="zh-CN"/>
        </w:rPr>
        <w:t>市场注册生效的经营主体</w:t>
      </w:r>
      <w:r>
        <w:rPr>
          <w:rFonts w:hint="eastAsia" w:cs="Times New Roman"/>
          <w:snapToGrid/>
          <w:color w:val="auto"/>
          <w:kern w:val="2"/>
          <w:szCs w:val="24"/>
          <w:lang w:val="en-US" w:eastAsia="zh-CN" w:bidi="ar-SA"/>
        </w:rPr>
        <w:t>纳入经营主体目录。</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（三）信息变更及退出</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2" w:firstLineChars="200"/>
        <w:jc w:val="both"/>
        <w:textAlignment w:val="baseline"/>
        <w:outlineLvl w:val="9"/>
        <w:rPr>
          <w:rFonts w:hint="eastAsia" w:ascii="方正仿宋_GBK" w:hAnsi="方正仿宋_GBK" w:eastAsia="方正仿宋_GBK" w:cs="方正仿宋_GBK"/>
          <w:b/>
          <w:bCs/>
          <w:snapToGrid/>
          <w:color w:val="000000"/>
          <w:kern w:val="2"/>
          <w:sz w:val="32"/>
          <w:szCs w:val="32"/>
          <w:lang w:val="en-US" w:eastAsia="zh-CN" w:bidi="ar-SA"/>
        </w:rPr>
      </w:pPr>
      <w:r>
        <w:rPr>
          <w:rFonts w:hint="eastAsia" w:ascii="方正仿宋_GBK" w:hAnsi="方正仿宋_GBK" w:eastAsia="方正仿宋_GBK" w:cs="方正仿宋_GBK"/>
          <w:b/>
          <w:bCs/>
          <w:snapToGrid/>
          <w:color w:val="000000"/>
          <w:kern w:val="2"/>
          <w:sz w:val="32"/>
          <w:szCs w:val="32"/>
          <w:lang w:val="en-US" w:eastAsia="zh-CN" w:bidi="ar-SA"/>
        </w:rPr>
        <w:t>1.调节能力变更</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napToGrid/>
          <w:color w:val="auto"/>
          <w:kern w:val="2"/>
          <w:szCs w:val="24"/>
          <w:highlight w:val="yellow"/>
          <w:lang w:val="en-US" w:eastAsia="zh-CN" w:bidi="ar-SA"/>
        </w:rPr>
      </w:pPr>
      <w:r>
        <w:rPr>
          <w:rFonts w:hint="eastAsia" w:cs="Times New Roman"/>
          <w:snapToGrid/>
          <w:color w:val="auto"/>
          <w:kern w:val="2"/>
          <w:szCs w:val="24"/>
          <w:lang w:val="en-US" w:eastAsia="zh-CN" w:bidi="ar-SA"/>
        </w:rPr>
        <w:t>已参与市场交易的虚拟电厂，其聚合资源主体发生经营主体市场注销、机组退役关停转让、电源或储能装机容量变更、用户扩容或减容、其他关键技术参数变更等影响虚拟电厂调节能力的，应在负荷管理平台重新进行能力测试，并在交易平台提交能力测试报告。通过测试的虚拟电厂及其聚合资源主体应同步在交易平台办理市场注册信息变更手</w:t>
      </w:r>
      <w:r>
        <w:rPr>
          <w:rFonts w:hint="eastAsia" w:cs="Times New Roman"/>
          <w:snapToGrid/>
          <w:color w:val="auto"/>
          <w:kern w:val="2"/>
          <w:szCs w:val="24"/>
          <w:highlight w:val="none"/>
          <w:lang w:val="en-US" w:eastAsia="zh-CN" w:bidi="ar-SA"/>
        </w:rPr>
        <w:t>续。已注册生效的“负荷型”虚拟电厂可通过聚合分布式电源，按程序变更为“混合型”虚拟电厂，无需重复进行能力测试。</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2" w:firstLineChars="200"/>
        <w:jc w:val="both"/>
        <w:textAlignment w:val="baseline"/>
        <w:outlineLvl w:val="9"/>
        <w:rPr>
          <w:rFonts w:hint="eastAsia" w:ascii="方正仿宋_GBK" w:hAnsi="方正仿宋_GBK" w:eastAsia="方正仿宋_GBK" w:cs="方正仿宋_GBK"/>
          <w:b/>
          <w:bCs/>
          <w:snapToGrid/>
          <w:color w:val="000000"/>
          <w:kern w:val="2"/>
          <w:sz w:val="32"/>
          <w:szCs w:val="32"/>
          <w:lang w:val="en-US" w:eastAsia="zh-CN" w:bidi="ar-SA"/>
        </w:rPr>
      </w:pPr>
      <w:r>
        <w:rPr>
          <w:rFonts w:hint="eastAsia" w:ascii="方正仿宋_GBK" w:hAnsi="方正仿宋_GBK" w:eastAsia="方正仿宋_GBK" w:cs="方正仿宋_GBK"/>
          <w:b/>
          <w:bCs/>
          <w:snapToGrid/>
          <w:color w:val="000000"/>
          <w:kern w:val="2"/>
          <w:sz w:val="32"/>
          <w:szCs w:val="32"/>
          <w:lang w:val="en-US" w:eastAsia="zh-CN" w:bidi="ar-SA"/>
        </w:rPr>
        <w:t>2.市场退出</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退出市场参照《售电公司管理办法》执行。虚拟电厂自愿申请退出市场，应提前45个工作日向湖南电力交易中心提交退出申请，终止交易月之前（含当月），购售电合同由该虚拟电厂继续履行，或通过自主协商的方式完成购售电合同处理。申请内容包括：</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1.明确退出原因和计划的终止交易月；</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napToGrid/>
          <w:color w:val="auto"/>
          <w:kern w:val="2"/>
          <w:szCs w:val="24"/>
          <w:lang w:val="en-US" w:eastAsia="zh-CN" w:bidi="ar-SA"/>
        </w:rPr>
      </w:pPr>
      <w:r>
        <w:rPr>
          <w:rFonts w:hint="eastAsia" w:cs="Times New Roman"/>
          <w:snapToGrid/>
          <w:color w:val="auto"/>
          <w:kern w:val="2"/>
          <w:szCs w:val="24"/>
          <w:lang w:val="en-US" w:eastAsia="zh-CN" w:bidi="ar-SA"/>
        </w:rPr>
        <w:t>2.上传虚拟电厂自愿退出市场声明（包括与发电企业、零售用户已履行的市场交易合同的结算清算情况，以及市场化电费和交易手续费清算情况等）；</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3.尚未履行的市场交易合同及未履行合同的转让协议；</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湖南电力交易中心收到虚拟电厂自愿注销申请后，7个工作日内完成对注销申请和相关材料核验，核验通过后，将退出申请及相关材料通过电力交易平台、“信用中国”网站等政府指定网站向社会公示10个工作日。公示期满无异议的，从湖南电力市场虚拟电厂目录中删除。</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default" w:cs="Times New Roman"/>
          <w:snapToGrid/>
          <w:color w:val="auto"/>
          <w:kern w:val="2"/>
          <w:szCs w:val="24"/>
          <w:highlight w:val="yellow"/>
          <w:lang w:val="en-US" w:eastAsia="zh-CN" w:bidi="ar-SA"/>
        </w:rPr>
      </w:pPr>
      <w:r>
        <w:rPr>
          <w:rFonts w:hint="eastAsia" w:cs="Times New Roman"/>
          <w:snapToGrid/>
          <w:color w:val="auto"/>
          <w:kern w:val="2"/>
          <w:szCs w:val="24"/>
          <w:lang w:val="en-US" w:eastAsia="zh-CN" w:bidi="ar-SA"/>
        </w:rPr>
        <w:t>虚拟电厂被取消市场交易资格或强制退出的，虚拟电厂运营商与聚合资源主体已签订尚未履行的聚合服务合同次月起终止履行，负荷类资源可以与其他虚拟电厂或售电公司签订新合同。已进入市场的发电类资源与虚拟电厂签订新聚合合同前，</w:t>
      </w:r>
      <w:r>
        <w:rPr>
          <w:rFonts w:hint="eastAsia" w:cs="Times New Roman"/>
          <w:snapToGrid/>
          <w:color w:val="auto"/>
          <w:kern w:val="2"/>
          <w:szCs w:val="24"/>
          <w:highlight w:val="none"/>
          <w:lang w:val="en-US" w:eastAsia="zh-CN" w:bidi="ar-SA"/>
        </w:rPr>
        <w:t>作为价格接受者参与市场交易，电力交易机构出具结算依据，电网企业进行电费结算。</w:t>
      </w:r>
      <w:r>
        <w:rPr>
          <w:rFonts w:hint="eastAsia"/>
          <w:snapToGrid/>
          <w:color w:val="auto"/>
          <w:kern w:val="2"/>
          <w:szCs w:val="24"/>
          <w:highlight w:val="none"/>
          <w:lang w:eastAsia="zh-CN"/>
        </w:rPr>
        <w:t>已市场注销的</w:t>
      </w:r>
      <w:r>
        <w:rPr>
          <w:rFonts w:hint="eastAsia" w:cs="Times New Roman"/>
          <w:snapToGrid/>
          <w:color w:val="auto"/>
          <w:kern w:val="2"/>
          <w:szCs w:val="24"/>
          <w:highlight w:val="none"/>
          <w:lang w:val="en-US" w:eastAsia="zh-CN" w:bidi="ar-SA"/>
        </w:rPr>
        <w:t>虚拟电厂</w:t>
      </w:r>
      <w:r>
        <w:rPr>
          <w:rFonts w:hint="eastAsia"/>
          <w:snapToGrid/>
          <w:color w:val="auto"/>
          <w:kern w:val="2"/>
          <w:szCs w:val="24"/>
          <w:highlight w:val="none"/>
          <w:lang w:eastAsia="zh-CN"/>
        </w:rPr>
        <w:t>再次参与电力市场交易，应重新办理市场注册。</w:t>
      </w:r>
      <w:r>
        <w:rPr>
          <w:rFonts w:hint="eastAsia" w:cs="Times New Roman"/>
          <w:snapToGrid/>
          <w:color w:val="auto"/>
          <w:kern w:val="2"/>
          <w:szCs w:val="24"/>
          <w:highlight w:val="none"/>
          <w:lang w:val="en-US" w:eastAsia="zh-CN" w:bidi="ar-SA"/>
        </w:rPr>
        <w:t xml:space="preserve">                                               </w:t>
      </w:r>
      <w:r>
        <w:rPr>
          <w:rFonts w:hint="eastAsia" w:cs="Times New Roman"/>
          <w:snapToGrid/>
          <w:color w:val="auto"/>
          <w:kern w:val="2"/>
          <w:szCs w:val="24"/>
          <w:highlight w:val="yellow"/>
          <w:lang w:val="en-US" w:eastAsia="zh-CN" w:bidi="ar-SA"/>
        </w:rPr>
        <w:t xml:space="preserve">                     </w:t>
      </w:r>
    </w:p>
    <w:p>
      <w:pPr>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outlineLvl w:val="9"/>
        <w:rPr>
          <w:rFonts w:hint="eastAsia" w:ascii="仿宋_GB2312" w:hAnsi="仿宋_GB2312" w:eastAsia="方正黑体_GBK" w:cs="Times New Roman"/>
          <w:snapToGrid/>
          <w:color w:val="auto"/>
          <w:kern w:val="2"/>
          <w:sz w:val="32"/>
          <w:szCs w:val="32"/>
          <w:lang w:val="en-US" w:eastAsia="zh-CN" w:bidi="ar-SA"/>
        </w:rPr>
      </w:pPr>
      <w:r>
        <w:rPr>
          <w:rFonts w:hint="eastAsia" w:ascii="仿宋_GB2312" w:hAnsi="仿宋_GB2312" w:eastAsia="方正黑体_GBK" w:cs="Times New Roman"/>
          <w:snapToGrid/>
          <w:color w:val="auto"/>
          <w:kern w:val="2"/>
          <w:sz w:val="32"/>
          <w:szCs w:val="32"/>
          <w:lang w:val="en-US" w:eastAsia="zh-CN" w:bidi="ar-SA"/>
        </w:rPr>
        <w:t>四、虚拟电厂聚合服务管理</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（一）聚合管理要求</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虚拟电厂通过交易平台，依托电力零售市场与发电类资源、负荷类资源等各类聚合资源主体确立聚合服务关系，在电力批发市场参与电力市场交易。</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Style w:val="17"/>
          <w:rFonts w:hint="eastAsia"/>
          <w:highlight w:val="none"/>
          <w:lang w:val="en-US" w:eastAsia="zh-CN"/>
        </w:rPr>
      </w:pPr>
      <w:r>
        <w:rPr>
          <w:rFonts w:hint="eastAsia" w:cs="Times New Roman"/>
          <w:snapToGrid/>
          <w:color w:val="auto"/>
          <w:kern w:val="2"/>
          <w:szCs w:val="24"/>
          <w:highlight w:val="none"/>
          <w:lang w:val="en-US" w:eastAsia="zh-CN" w:bidi="ar-SA"/>
        </w:rPr>
        <w:t>虚拟电厂与聚合资源主体的聚合服务合同周期不低于6个月，以自然月为最小单位（下同）。</w:t>
      </w:r>
      <w:r>
        <w:rPr>
          <w:rStyle w:val="17"/>
          <w:rFonts w:hint="eastAsia"/>
          <w:highlight w:val="none"/>
          <w:lang w:val="en-US" w:eastAsia="zh-CN"/>
        </w:rPr>
        <w:t>同一电力用户在同一合同周期内只能被一家虚拟电厂</w:t>
      </w:r>
      <w:r>
        <w:rPr>
          <w:rStyle w:val="17"/>
          <w:rFonts w:hint="eastAsia"/>
          <w:highlight w:val="none"/>
          <w:lang w:eastAsia="zh-CN"/>
        </w:rPr>
        <w:t>运营商聚合代理，聚合代理关系应与售电代理关系保持一致，</w:t>
      </w:r>
      <w:r>
        <w:rPr>
          <w:rStyle w:val="17"/>
          <w:rFonts w:hint="eastAsia"/>
          <w:highlight w:val="none"/>
          <w:lang w:val="en-US" w:eastAsia="zh-CN"/>
        </w:rPr>
        <w:t>即该用户已由售电公司代理购电，只能由该售电公司的对应的虚拟电厂运营商聚合代理参与市场交易</w:t>
      </w:r>
      <w:r>
        <w:rPr>
          <w:rStyle w:val="17"/>
          <w:rFonts w:hint="eastAsia"/>
          <w:highlight w:val="none"/>
          <w:lang w:eastAsia="zh-CN"/>
        </w:rPr>
        <w:t>。</w:t>
      </w:r>
      <w:r>
        <w:rPr>
          <w:rStyle w:val="17"/>
          <w:rFonts w:hint="eastAsia"/>
          <w:highlight w:val="none"/>
          <w:lang w:val="en-US" w:eastAsia="zh-CN"/>
        </w:rPr>
        <w:t>同一分布式电源在同一合同周期内仅可与一家虚拟电厂确定聚合代理关系。</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trike w:val="0"/>
          <w:snapToGrid/>
          <w:color w:val="auto"/>
          <w:kern w:val="2"/>
          <w:szCs w:val="24"/>
          <w:highlight w:val="none"/>
          <w:lang w:val="en-US" w:eastAsia="zh-CN" w:bidi="ar-SA"/>
        </w:rPr>
      </w:pPr>
      <w:r>
        <w:rPr>
          <w:rFonts w:hint="eastAsia" w:cs="Times New Roman"/>
          <w:strike w:val="0"/>
          <w:snapToGrid/>
          <w:color w:val="auto"/>
          <w:kern w:val="2"/>
          <w:szCs w:val="24"/>
          <w:highlight w:val="none"/>
          <w:lang w:val="en-US" w:eastAsia="zh-CN" w:bidi="ar-SA"/>
        </w:rPr>
        <w:t>虚拟电厂运营商聚合电力用户时，如已按售电公司身份代理用户售电并缴纳履约保函时，无需重新缴纳。如未缴纳履约保函，参照《</w:t>
      </w:r>
      <w:r>
        <w:rPr>
          <w:rFonts w:hint="eastAsia"/>
          <w:snapToGrid/>
          <w:color w:val="auto"/>
          <w:kern w:val="2"/>
          <w:szCs w:val="24"/>
          <w:highlight w:val="none"/>
          <w:lang w:eastAsia="zh-CN"/>
        </w:rPr>
        <w:t>湖南电力市场售电公司履约保函管理办法</w:t>
      </w:r>
      <w:r>
        <w:rPr>
          <w:rFonts w:hint="eastAsia" w:cs="Times New Roman"/>
          <w:strike w:val="0"/>
          <w:snapToGrid/>
          <w:color w:val="auto"/>
          <w:kern w:val="2"/>
          <w:szCs w:val="24"/>
          <w:highlight w:val="none"/>
          <w:lang w:val="en-US" w:eastAsia="zh-CN" w:bidi="ar-SA"/>
        </w:rPr>
        <w:t>》执行。</w:t>
      </w:r>
    </w:p>
    <w:p>
      <w:pPr>
        <w:pStyle w:val="8"/>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1"/>
        <w:rPr>
          <w:rFonts w:hint="eastAsia" w:ascii="Calibri" w:hAnsi="Calibri" w:eastAsia="方正楷体_GBK" w:cs="Times New Roman"/>
          <w:b w:val="0"/>
          <w:snapToGrid/>
          <w:color w:val="auto"/>
          <w:kern w:val="2"/>
          <w:sz w:val="32"/>
          <w:lang w:val="en-US" w:eastAsia="zh-CN" w:bidi="ar-SA"/>
        </w:rPr>
      </w:pPr>
      <w:r>
        <w:rPr>
          <w:rFonts w:hint="eastAsia" w:cs="Times New Roman"/>
          <w:snapToGrid/>
          <w:color w:val="auto"/>
          <w:kern w:val="2"/>
          <w:szCs w:val="24"/>
          <w:highlight w:val="none"/>
          <w:lang w:val="en-US" w:eastAsia="zh-CN" w:bidi="ar-SA"/>
        </w:rPr>
        <w:t>若虚拟电厂与聚合资源主体的聚合服务关系发生变化，需在聚合服务关系变更前重新进行能力测试，通过测试的虚拟电厂应在变更当月完成聚合服务新增、变更或终止手续，相关聚合资源主体应配合完成相关手续，湖南</w:t>
      </w:r>
      <w:r>
        <w:rPr>
          <w:rFonts w:hint="eastAsia" w:cs="Times New Roman"/>
          <w:snapToGrid/>
          <w:color w:val="auto"/>
          <w:kern w:val="2"/>
          <w:szCs w:val="24"/>
          <w:lang w:val="en-US" w:eastAsia="zh-CN" w:bidi="ar-SA"/>
        </w:rPr>
        <w:t>电力交易中心和湖南省电力负荷管理中心同步受理做好相关信息变更。</w:t>
      </w:r>
    </w:p>
    <w:p>
      <w:pPr>
        <w:pStyle w:val="8"/>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1"/>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（二）聚合服务合同签约</w:t>
      </w:r>
    </w:p>
    <w:p>
      <w:pPr>
        <w:pStyle w:val="8"/>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outlineLvl w:val="0"/>
        <w:rPr>
          <w:rFonts w:hint="eastAsia" w:ascii="仿宋_GB2312" w:hAnsi="仿宋_GB2312" w:eastAsia="方正黑体_GBK" w:cs="Times New Roman"/>
          <w:snapToGrid/>
          <w:color w:val="auto"/>
          <w:kern w:val="2"/>
          <w:sz w:val="32"/>
          <w:szCs w:val="32"/>
          <w:lang w:val="en-US" w:eastAsia="zh-CN" w:bidi="ar-SA"/>
        </w:rPr>
      </w:pPr>
      <w:r>
        <w:rPr>
          <w:rFonts w:hint="eastAsia" w:cs="Times New Roman"/>
          <w:snapToGrid/>
          <w:color w:val="auto"/>
          <w:kern w:val="2"/>
          <w:szCs w:val="24"/>
          <w:lang w:val="en-US" w:eastAsia="zh-CN" w:bidi="ar-SA"/>
        </w:rPr>
        <w:t>虚拟电厂与发电类聚合资源主体签订虚拟电厂聚合新能源企业代理合同，双方约定零售套餐后，在湖南电力交易平台上签订并形成电子合同，合同模板参考附件2、附件3。</w:t>
      </w:r>
    </w:p>
    <w:p>
      <w:pPr>
        <w:pStyle w:val="8"/>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outlineLvl w:val="0"/>
        <w:rPr>
          <w:rFonts w:hint="eastAsia" w:ascii="仿宋_GB2312" w:hAnsi="仿宋_GB2312" w:eastAsia="方正黑体_GBK" w:cs="Times New Roman"/>
          <w:snapToGrid/>
          <w:color w:val="auto"/>
          <w:kern w:val="2"/>
          <w:sz w:val="32"/>
          <w:szCs w:val="32"/>
          <w:highlight w:val="none"/>
          <w:lang w:val="en-US" w:eastAsia="zh-CN" w:bidi="ar-SA"/>
        </w:rPr>
      </w:pPr>
      <w:r>
        <w:rPr>
          <w:rFonts w:hint="eastAsia" w:ascii="仿宋_GB2312" w:hAnsi="仿宋_GB2312" w:eastAsia="方正黑体_GBK" w:cs="Times New Roman"/>
          <w:snapToGrid/>
          <w:color w:val="auto"/>
          <w:kern w:val="2"/>
          <w:sz w:val="32"/>
          <w:szCs w:val="32"/>
          <w:lang w:val="en-US" w:eastAsia="zh-CN" w:bidi="ar-SA"/>
        </w:rPr>
        <w:t>五、虚拟电厂</w:t>
      </w:r>
      <w:r>
        <w:rPr>
          <w:rFonts w:hint="eastAsia" w:ascii="仿宋_GB2312" w:hAnsi="仿宋_GB2312" w:eastAsia="方正黑体_GBK" w:cs="Times New Roman"/>
          <w:snapToGrid/>
          <w:color w:val="auto"/>
          <w:kern w:val="2"/>
          <w:sz w:val="32"/>
          <w:szCs w:val="32"/>
          <w:highlight w:val="none"/>
          <w:lang w:val="en-US" w:eastAsia="zh-CN" w:bidi="ar-SA"/>
        </w:rPr>
        <w:t>参与市场交易机制</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highlight w:val="none"/>
          <w:lang w:val="en-US" w:eastAsia="zh-CN" w:bidi="ar-SA"/>
        </w:rPr>
      </w:pPr>
      <w:r>
        <w:rPr>
          <w:rFonts w:hint="eastAsia" w:cs="Times New Roman"/>
          <w:snapToGrid/>
          <w:color w:val="auto"/>
          <w:kern w:val="2"/>
          <w:szCs w:val="24"/>
          <w:highlight w:val="none"/>
          <w:lang w:val="en-US" w:eastAsia="zh-CN" w:bidi="ar-SA"/>
        </w:rPr>
        <w:t>湖南省虚拟电厂可参与批发市场省间、省内电力中长期电能量交易、现货电能量交易、电力辅助服务交易、省间电力互济交易等。</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highlight w:val="none"/>
          <w:lang w:val="en-US" w:eastAsia="zh-CN" w:bidi="ar-SA"/>
        </w:rPr>
      </w:pPr>
      <w:r>
        <w:rPr>
          <w:rFonts w:hint="eastAsia" w:ascii="Calibri" w:hAnsi="Calibri" w:eastAsia="方正楷体_GBK" w:cs="Times New Roman"/>
          <w:b w:val="0"/>
          <w:snapToGrid/>
          <w:color w:val="auto"/>
          <w:kern w:val="2"/>
          <w:sz w:val="32"/>
          <w:highlight w:val="none"/>
          <w:lang w:val="en-US" w:eastAsia="zh-CN" w:bidi="ar-SA"/>
        </w:rPr>
        <w:t>（一）市场准备</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虚拟电厂与聚合资源主体达成聚合服务关系后，依据聚合资源主体特性设置聚合单元，聚合单元是虚拟电厂参与中长期、现货市场等交易结算的基本单元。</w:t>
      </w:r>
    </w:p>
    <w:p>
      <w:pPr>
        <w:pageBreakBefore w:val="0"/>
        <w:widowControl w:val="0"/>
        <w:kinsoku/>
        <w:wordWrap/>
        <w:overflowPunct/>
        <w:topLinePunct w:val="0"/>
        <w:autoSpaceDE/>
        <w:autoSpaceDN/>
        <w:bidi w:val="0"/>
        <w:adjustRightInd w:val="0"/>
        <w:snapToGrid w:val="0"/>
        <w:spacing w:afterLines="0" w:line="580" w:lineRule="exact"/>
        <w:ind w:left="0" w:leftChars="0" w:firstLine="640" w:firstLineChars="200"/>
        <w:jc w:val="both"/>
        <w:textAlignment w:val="auto"/>
        <w:outlineLvl w:val="9"/>
        <w:rPr>
          <w:rFonts w:hint="eastAsia"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（二）中长期和绿电电能量交易</w:t>
      </w:r>
    </w:p>
    <w:p>
      <w:pPr>
        <w:pStyle w:val="8"/>
        <w:keepNext w:val="0"/>
        <w:keepLines w:val="0"/>
        <w:pageBreakBefore w:val="0"/>
        <w:widowControl w:val="0"/>
        <w:kinsoku/>
        <w:wordWrap/>
        <w:overflowPunct/>
        <w:topLinePunct w:val="0"/>
        <w:autoSpaceDE/>
        <w:autoSpaceDN/>
        <w:bidi w:val="0"/>
        <w:adjustRightInd w:val="0"/>
        <w:snapToGrid w:val="0"/>
        <w:spacing w:beforeAutospacing="0" w:afterLines="0" w:afterAutospacing="0" w:line="580" w:lineRule="exact"/>
        <w:ind w:left="0" w:leftChars="0" w:right="0" w:firstLine="640" w:firstLineChars="200"/>
        <w:jc w:val="both"/>
        <w:textAlignment w:val="auto"/>
        <w:rPr>
          <w:rFonts w:hint="eastAsia" w:cs="Times New Roman"/>
          <w:snapToGrid/>
          <w:color w:val="auto"/>
          <w:kern w:val="2"/>
          <w:szCs w:val="24"/>
          <w:lang w:val="en-US" w:eastAsia="zh-CN" w:bidi="ar-SA"/>
        </w:rPr>
      </w:pPr>
      <w:r>
        <w:rPr>
          <w:rFonts w:hint="eastAsia" w:cs="Times New Roman"/>
          <w:snapToGrid/>
          <w:color w:val="auto"/>
          <w:kern w:val="2"/>
          <w:szCs w:val="24"/>
          <w:lang w:val="en-US" w:eastAsia="zh-CN" w:bidi="ar-SA"/>
        </w:rPr>
        <w:t>虚拟电厂结合自身发用电特性参与中长期交易和绿电交易。</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2" w:firstLineChars="200"/>
        <w:jc w:val="both"/>
        <w:textAlignment w:val="baseline"/>
        <w:outlineLvl w:val="9"/>
        <w:rPr>
          <w:rFonts w:hint="default" w:ascii="方正仿宋_GBK" w:hAnsi="方正仿宋_GBK" w:eastAsia="方正仿宋_GBK" w:cs="方正仿宋_GBK"/>
          <w:b/>
          <w:bCs/>
          <w:snapToGrid/>
          <w:color w:val="000000"/>
          <w:kern w:val="2"/>
          <w:sz w:val="32"/>
          <w:szCs w:val="32"/>
          <w:lang w:val="en-US" w:eastAsia="zh-CN" w:bidi="ar-SA"/>
        </w:rPr>
      </w:pPr>
      <w:r>
        <w:rPr>
          <w:rFonts w:hint="eastAsia" w:ascii="方正仿宋_GBK" w:hAnsi="方正仿宋_GBK" w:eastAsia="方正仿宋_GBK" w:cs="方正仿宋_GBK"/>
          <w:b/>
          <w:bCs/>
          <w:snapToGrid/>
          <w:color w:val="000000"/>
          <w:kern w:val="2"/>
          <w:sz w:val="32"/>
          <w:szCs w:val="32"/>
          <w:lang w:val="en-US" w:eastAsia="zh-CN" w:bidi="ar-SA"/>
        </w:rPr>
        <w:t>1.中长期交易</w:t>
      </w:r>
    </w:p>
    <w:p>
      <w:pPr>
        <w:pStyle w:val="8"/>
        <w:keepNext w:val="0"/>
        <w:keepLines w:val="0"/>
        <w:pageBreakBefore w:val="0"/>
        <w:widowControl/>
        <w:numPr>
          <w:ilvl w:val="0"/>
          <w:numId w:val="0"/>
        </w:numPr>
        <w:suppressLineNumbers w:val="0"/>
        <w:kinsoku/>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0" w:firstLineChars="200"/>
        <w:jc w:val="both"/>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虚拟电厂可参与年度、月度、</w:t>
      </w:r>
      <w:r>
        <w:rPr>
          <w:rFonts w:hint="eastAsia" w:cs="方正仿宋_GBK"/>
          <w:color w:val="000000"/>
          <w:kern w:val="2"/>
          <w:sz w:val="32"/>
          <w:szCs w:val="32"/>
          <w:lang w:val="en-US" w:eastAsia="zh-CN" w:bidi="ar-SA"/>
        </w:rPr>
        <w:t>月内</w:t>
      </w:r>
      <w:r>
        <w:rPr>
          <w:rFonts w:hint="eastAsia" w:ascii="方正仿宋_GBK" w:hAnsi="方正仿宋_GBK" w:eastAsia="方正仿宋_GBK" w:cs="方正仿宋_GBK"/>
          <w:color w:val="000000"/>
          <w:kern w:val="2"/>
          <w:sz w:val="32"/>
          <w:szCs w:val="32"/>
          <w:lang w:val="en-US" w:eastAsia="zh-CN" w:bidi="ar-SA"/>
        </w:rPr>
        <w:t>等周期的双边协商、挂牌、集中竞</w:t>
      </w:r>
      <w:r>
        <w:rPr>
          <w:rFonts w:hint="eastAsia" w:cs="方正仿宋_GBK"/>
          <w:color w:val="000000"/>
          <w:kern w:val="2"/>
          <w:sz w:val="32"/>
          <w:szCs w:val="32"/>
          <w:lang w:val="en-US" w:eastAsia="zh-CN" w:bidi="ar-SA"/>
        </w:rPr>
        <w:t>价等交易</w:t>
      </w:r>
      <w:r>
        <w:rPr>
          <w:rFonts w:hint="eastAsia" w:ascii="方正仿宋_GBK" w:hAnsi="方正仿宋_GBK" w:eastAsia="方正仿宋_GBK" w:cs="方正仿宋_GBK"/>
          <w:color w:val="000000"/>
          <w:kern w:val="2"/>
          <w:sz w:val="32"/>
          <w:szCs w:val="32"/>
          <w:lang w:val="en-US" w:eastAsia="zh-CN" w:bidi="ar-SA"/>
        </w:rPr>
        <w:t>，具体以相关细则及交易安排为准。</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2" w:firstLineChars="200"/>
        <w:jc w:val="both"/>
        <w:textAlignment w:val="baseline"/>
        <w:outlineLvl w:val="9"/>
        <w:rPr>
          <w:rFonts w:hint="default" w:ascii="方正仿宋_GBK" w:hAnsi="方正仿宋_GBK" w:eastAsia="方正仿宋_GBK" w:cs="方正仿宋_GBK"/>
          <w:b/>
          <w:bCs/>
          <w:snapToGrid/>
          <w:color w:val="000000"/>
          <w:kern w:val="2"/>
          <w:sz w:val="32"/>
          <w:szCs w:val="32"/>
          <w:lang w:val="en-US" w:eastAsia="zh-CN" w:bidi="ar-SA"/>
        </w:rPr>
      </w:pPr>
      <w:r>
        <w:rPr>
          <w:rFonts w:hint="eastAsia" w:ascii="方正仿宋_GBK" w:hAnsi="方正仿宋_GBK" w:eastAsia="方正仿宋_GBK" w:cs="方正仿宋_GBK"/>
          <w:b/>
          <w:bCs/>
          <w:snapToGrid/>
          <w:color w:val="000000"/>
          <w:kern w:val="2"/>
          <w:sz w:val="32"/>
          <w:szCs w:val="32"/>
          <w:lang w:val="en-US" w:eastAsia="zh-CN" w:bidi="ar-SA"/>
        </w:rPr>
        <w:t>2.绿电交易</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snapToGrid/>
        <w:spacing w:before="0" w:beforeAutospacing="0" w:afterLines="0" w:afterAutospacing="0" w:line="580" w:lineRule="exact"/>
        <w:ind w:left="0" w:leftChars="0" w:right="0" w:rightChars="0" w:firstLine="640" w:firstLineChars="200"/>
        <w:jc w:val="both"/>
        <w:textAlignment w:val="baseline"/>
        <w:rPr>
          <w:rFonts w:hint="eastAsia" w:cs="方正仿宋_GBK"/>
          <w:color w:val="000000"/>
          <w:kern w:val="2"/>
          <w:sz w:val="32"/>
          <w:szCs w:val="32"/>
          <w:lang w:val="en-US" w:eastAsia="zh-CN" w:bidi="ar-SA"/>
        </w:rPr>
      </w:pPr>
      <w:r>
        <w:rPr>
          <w:rFonts w:hint="eastAsia" w:cs="方正仿宋_GBK"/>
          <w:color w:val="000000"/>
          <w:kern w:val="2"/>
          <w:sz w:val="32"/>
          <w:szCs w:val="32"/>
          <w:lang w:val="en-US" w:eastAsia="zh-CN" w:bidi="ar-SA"/>
        </w:rPr>
        <w:t>虚拟电厂参与绿电交易，其聚合的分布式电源需按</w:t>
      </w:r>
      <w:r>
        <w:rPr>
          <w:rFonts w:hint="default" w:ascii="方正仿宋_GBK" w:hAnsi="方正仿宋_GBK" w:eastAsia="方正仿宋_GBK" w:cs="方正仿宋_GBK"/>
          <w:color w:val="000000"/>
          <w:kern w:val="2"/>
          <w:sz w:val="32"/>
          <w:szCs w:val="32"/>
          <w:lang w:val="en-US" w:eastAsia="zh-CN" w:bidi="ar-SA"/>
        </w:rPr>
        <w:t>要求提供国家可再生能源项目信息管理平台建档立卡</w:t>
      </w:r>
      <w:r>
        <w:rPr>
          <w:rFonts w:hint="eastAsia"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国家绿证核发交易系统绿证申报通过</w:t>
      </w:r>
      <w:r>
        <w:rPr>
          <w:rFonts w:hint="eastAsia" w:cs="方正仿宋_GBK"/>
          <w:color w:val="000000"/>
          <w:kern w:val="2"/>
          <w:sz w:val="32"/>
          <w:szCs w:val="32"/>
          <w:lang w:val="en-US" w:eastAsia="zh-CN" w:bidi="ar-SA"/>
        </w:rPr>
        <w:t>和</w:t>
      </w:r>
      <w:r>
        <w:rPr>
          <w:rFonts w:hint="eastAsia" w:cs="方正仿宋_GBK"/>
          <w:kern w:val="2"/>
          <w:szCs w:val="32"/>
          <w:lang w:eastAsia="zh-CN"/>
        </w:rPr>
        <w:t>未纳入国家可再生能源电价附加补助政策范围</w:t>
      </w:r>
      <w:r>
        <w:rPr>
          <w:rFonts w:hint="eastAsia" w:cs="方正仿宋_GBK"/>
          <w:kern w:val="2"/>
          <w:szCs w:val="32"/>
          <w:lang w:val="en-US" w:eastAsia="zh-CN"/>
        </w:rPr>
        <w:t>或</w:t>
      </w:r>
      <w:r>
        <w:rPr>
          <w:rFonts w:hint="eastAsia" w:cs="方正仿宋_GBK"/>
          <w:kern w:val="2"/>
          <w:szCs w:val="32"/>
          <w:lang w:eastAsia="zh-CN"/>
        </w:rPr>
        <w:t>主动放弃补贴</w:t>
      </w:r>
      <w:r>
        <w:rPr>
          <w:rFonts w:hint="eastAsia" w:cs="方正仿宋_GBK"/>
          <w:color w:val="000000"/>
          <w:kern w:val="2"/>
          <w:sz w:val="32"/>
          <w:szCs w:val="32"/>
          <w:lang w:val="en-US" w:eastAsia="zh-CN" w:bidi="ar-SA"/>
        </w:rPr>
        <w:t>的相关证明材料。</w:t>
      </w:r>
    </w:p>
    <w:p>
      <w:pPr>
        <w:pStyle w:val="8"/>
        <w:keepNext w:val="0"/>
        <w:keepLines w:val="0"/>
        <w:pageBreakBefore w:val="0"/>
        <w:widowControl/>
        <w:numPr>
          <w:ilvl w:val="-1"/>
          <w:numId w:val="0"/>
        </w:numPr>
        <w:suppressLineNumbers w:val="0"/>
        <w:kinsoku w:val="0"/>
        <w:wordWrap/>
        <w:overflowPunct/>
        <w:topLinePunct w:val="0"/>
        <w:autoSpaceDE w:val="0"/>
        <w:autoSpaceDN w:val="0"/>
        <w:bidi w:val="0"/>
        <w:adjustRightInd/>
        <w:snapToGrid/>
        <w:spacing w:before="0" w:beforeAutospacing="0" w:afterLines="0" w:afterAutospacing="0" w:line="580" w:lineRule="exact"/>
        <w:ind w:left="0" w:leftChars="0" w:right="0" w:rightChars="0" w:firstLine="640" w:firstLineChars="200"/>
        <w:jc w:val="both"/>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cs="方正仿宋_GBK"/>
          <w:color w:val="000000"/>
          <w:kern w:val="2"/>
          <w:sz w:val="32"/>
          <w:szCs w:val="32"/>
          <w:lang w:val="en-US" w:eastAsia="zh-CN" w:bidi="ar-SA"/>
        </w:rPr>
        <w:t>（1）交易方面</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snapToGrid/>
        <w:spacing w:before="0" w:beforeAutospacing="0" w:afterLines="0" w:afterAutospacing="0" w:line="580" w:lineRule="exact"/>
        <w:ind w:left="0" w:leftChars="0" w:right="0" w:rightChars="0" w:firstLine="640" w:firstLineChars="200"/>
        <w:jc w:val="both"/>
        <w:textAlignment w:val="baseline"/>
        <w:rPr>
          <w:rFonts w:hint="eastAsia" w:ascii="方正仿宋_GBK" w:hAnsi="方正仿宋_GBK" w:eastAsia="方正仿宋_GBK" w:cs="方正仿宋_GBK"/>
          <w:color w:val="000000"/>
          <w:kern w:val="2"/>
          <w:sz w:val="32"/>
          <w:szCs w:val="32"/>
          <w:highlight w:val="none"/>
          <w:lang w:val="en-US" w:eastAsia="zh-CN" w:bidi="ar-SA"/>
        </w:rPr>
      </w:pPr>
      <w:r>
        <w:rPr>
          <w:rFonts w:hint="eastAsia" w:cs="方正仿宋_GBK"/>
          <w:color w:val="000000"/>
          <w:kern w:val="2"/>
          <w:sz w:val="32"/>
          <w:szCs w:val="32"/>
          <w:lang w:val="en-US" w:eastAsia="zh-CN" w:bidi="ar-SA"/>
        </w:rPr>
        <w:t>虚拟电厂</w:t>
      </w:r>
      <w:r>
        <w:rPr>
          <w:rFonts w:hint="eastAsia" w:ascii="方正仿宋_GBK" w:hAnsi="方正仿宋_GBK" w:eastAsia="方正仿宋_GBK" w:cs="方正仿宋_GBK"/>
          <w:color w:val="000000"/>
          <w:kern w:val="2"/>
          <w:sz w:val="32"/>
          <w:szCs w:val="32"/>
          <w:lang w:val="en-US" w:eastAsia="zh-CN" w:bidi="ar-SA"/>
        </w:rPr>
        <w:t>代理分布式</w:t>
      </w:r>
      <w:r>
        <w:rPr>
          <w:rFonts w:hint="eastAsia" w:cs="方正仿宋_GBK"/>
          <w:color w:val="000000"/>
          <w:kern w:val="2"/>
          <w:sz w:val="32"/>
          <w:szCs w:val="32"/>
          <w:lang w:val="en-US" w:eastAsia="zh-CN" w:bidi="ar-SA"/>
        </w:rPr>
        <w:t>电源</w:t>
      </w:r>
      <w:r>
        <w:rPr>
          <w:rFonts w:hint="eastAsia" w:ascii="方正仿宋_GBK" w:hAnsi="方正仿宋_GBK" w:eastAsia="方正仿宋_GBK" w:cs="方正仿宋_GBK"/>
          <w:color w:val="000000"/>
          <w:kern w:val="2"/>
          <w:sz w:val="32"/>
          <w:szCs w:val="32"/>
          <w:lang w:val="en-US" w:eastAsia="zh-CN" w:bidi="ar-SA"/>
        </w:rPr>
        <w:t>通过双边</w:t>
      </w:r>
      <w:r>
        <w:rPr>
          <w:rFonts w:hint="eastAsia" w:ascii="方正仿宋_GBK" w:hAnsi="方正仿宋_GBK" w:eastAsia="方正仿宋_GBK" w:cs="方正仿宋_GBK"/>
          <w:color w:val="000000"/>
          <w:kern w:val="2"/>
          <w:sz w:val="32"/>
          <w:szCs w:val="32"/>
          <w:highlight w:val="none"/>
          <w:lang w:val="en-US" w:eastAsia="zh-CN" w:bidi="ar-SA"/>
        </w:rPr>
        <w:t>、挂牌等方式</w:t>
      </w:r>
      <w:r>
        <w:rPr>
          <w:rFonts w:hint="eastAsia" w:cs="方正仿宋_GBK"/>
          <w:color w:val="000000"/>
          <w:kern w:val="2"/>
          <w:sz w:val="32"/>
          <w:szCs w:val="32"/>
          <w:highlight w:val="none"/>
          <w:lang w:val="en-US" w:eastAsia="zh-CN" w:bidi="ar-SA"/>
        </w:rPr>
        <w:t>参与绿电</w:t>
      </w:r>
      <w:r>
        <w:rPr>
          <w:rFonts w:hint="eastAsia" w:ascii="方正仿宋_GBK" w:hAnsi="方正仿宋_GBK" w:eastAsia="方正仿宋_GBK" w:cs="方正仿宋_GBK"/>
          <w:color w:val="000000"/>
          <w:kern w:val="2"/>
          <w:sz w:val="32"/>
          <w:szCs w:val="32"/>
          <w:highlight w:val="none"/>
          <w:lang w:val="en-US" w:eastAsia="zh-CN" w:bidi="ar-SA"/>
        </w:rPr>
        <w:t>交易，各虚拟电厂需登陆湖南电力交易平台，将成交的绿电合同电量分配至代理的分布式</w:t>
      </w:r>
      <w:r>
        <w:rPr>
          <w:rFonts w:hint="eastAsia" w:cs="方正仿宋_GBK"/>
          <w:color w:val="000000"/>
          <w:kern w:val="2"/>
          <w:sz w:val="32"/>
          <w:szCs w:val="32"/>
          <w:highlight w:val="none"/>
          <w:lang w:val="en-US" w:eastAsia="zh-CN" w:bidi="ar-SA"/>
        </w:rPr>
        <w:t>电源，在规定时间内，各分布式电源需确认虚拟电厂已分配的绿电合同电量，逾期未确认视为绿电合同电量分配不成功</w:t>
      </w:r>
      <w:r>
        <w:rPr>
          <w:rFonts w:hint="eastAsia" w:ascii="方正仿宋_GBK" w:hAnsi="方正仿宋_GBK" w:eastAsia="方正仿宋_GBK" w:cs="方正仿宋_GBK"/>
          <w:color w:val="000000"/>
          <w:kern w:val="2"/>
          <w:sz w:val="32"/>
          <w:szCs w:val="32"/>
          <w:highlight w:val="none"/>
          <w:lang w:val="en-US" w:eastAsia="zh-CN" w:bidi="ar-SA"/>
        </w:rPr>
        <w:t>。</w:t>
      </w:r>
    </w:p>
    <w:p>
      <w:pPr>
        <w:pStyle w:val="8"/>
        <w:numPr>
          <w:ilvl w:val="0"/>
          <w:numId w:val="0"/>
        </w:numPr>
        <w:adjustRightInd/>
        <w:snapToGrid/>
        <w:spacing w:line="580" w:lineRule="exact"/>
        <w:ind w:firstLine="640" w:firstLineChars="200"/>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（2）溯源方面</w:t>
      </w:r>
    </w:p>
    <w:p>
      <w:pPr>
        <w:pStyle w:val="13"/>
        <w:keepNext w:val="0"/>
        <w:keepLines w:val="0"/>
        <w:pageBreakBefore w:val="0"/>
        <w:widowControl/>
        <w:suppressLineNumbers w:val="0"/>
        <w:kinsoku w:val="0"/>
        <w:wordWrap/>
        <w:overflowPunct/>
        <w:topLinePunct w:val="0"/>
        <w:autoSpaceDE w:val="0"/>
        <w:autoSpaceDN w:val="0"/>
        <w:bidi w:val="0"/>
        <w:adjustRightInd/>
        <w:snapToGrid/>
        <w:spacing w:before="0" w:beforeAutospacing="0" w:after="0" w:afterLines="0" w:afterAutospacing="0" w:line="580" w:lineRule="exact"/>
        <w:ind w:left="0" w:leftChars="0" w:right="0" w:firstLine="640" w:firstLineChars="200"/>
        <w:jc w:val="both"/>
        <w:textAlignment w:val="baseline"/>
        <w:rPr>
          <w:rFonts w:hint="default"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批发侧合同出清后，分布式电源的分配合同电量与零售用户的合同电量进行等比例分配，形成分布式电源与零售用户的电量分配关系，以下图为例。对应关系形成后，按新能源与零售用户之间绿电交易的结算规则执行。</w:t>
      </w:r>
    </w:p>
    <w:p>
      <w:pPr>
        <w:pStyle w:val="1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240" w:lineRule="auto"/>
        <w:ind w:right="0"/>
        <w:jc w:val="center"/>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drawing>
          <wp:inline distT="0" distB="0" distL="114300" distR="114300">
            <wp:extent cx="5268595" cy="2251710"/>
            <wp:effectExtent l="0" t="0" r="8255" b="15240"/>
            <wp:docPr id="3" name="图片 3" descr="9d00dbc42f34601516fdcbc639c823c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9d00dbc42f34601516fdcbc639c823c1"/>
                    <pic:cNvPicPr>
                      <a:picLocks noChangeAspect="true"/>
                    </pic:cNvPicPr>
                  </pic:nvPicPr>
                  <pic:blipFill>
                    <a:blip r:embed="rId17"/>
                    <a:stretch>
                      <a:fillRect/>
                    </a:stretch>
                  </pic:blipFill>
                  <pic:spPr>
                    <a:xfrm>
                      <a:off x="0" y="0"/>
                      <a:ext cx="5268595" cy="2251710"/>
                    </a:xfrm>
                    <a:prstGeom prst="rect">
                      <a:avLst/>
                    </a:prstGeom>
                  </pic:spPr>
                </pic:pic>
              </a:graphicData>
            </a:graphic>
          </wp:inline>
        </w:drawing>
      </w:r>
    </w:p>
    <w:p>
      <w:pPr>
        <w:pStyle w:val="13"/>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leftChars="0" w:right="0" w:firstLine="640" w:firstLineChars="200"/>
        <w:textAlignment w:val="baseline"/>
        <w:rPr>
          <w:rFonts w:hint="default"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绿色环境权益价值结算时，</w:t>
      </w:r>
      <w:r>
        <w:rPr>
          <w:rFonts w:hint="default" w:ascii="方正仿宋_GBK" w:hAnsi="方正仿宋_GBK" w:eastAsia="方正仿宋_GBK" w:cs="方正仿宋_GBK"/>
          <w:color w:val="000000"/>
          <w:kern w:val="2"/>
          <w:sz w:val="32"/>
          <w:szCs w:val="32"/>
          <w:lang w:val="en-US" w:eastAsia="zh-CN" w:bidi="ar-SA"/>
        </w:rPr>
        <w:t>同一</w:t>
      </w:r>
      <w:r>
        <w:rPr>
          <w:rFonts w:hint="eastAsia" w:ascii="方正仿宋_GBK" w:hAnsi="方正仿宋_GBK" w:eastAsia="方正仿宋_GBK" w:cs="方正仿宋_GBK"/>
          <w:color w:val="000000"/>
          <w:kern w:val="2"/>
          <w:sz w:val="32"/>
          <w:szCs w:val="32"/>
          <w:lang w:val="en-US" w:eastAsia="zh-CN" w:bidi="ar-SA"/>
        </w:rPr>
        <w:t>零售用户</w:t>
      </w:r>
      <w:r>
        <w:rPr>
          <w:rFonts w:hint="default" w:ascii="方正仿宋_GBK" w:hAnsi="方正仿宋_GBK" w:eastAsia="方正仿宋_GBK" w:cs="方正仿宋_GBK"/>
          <w:color w:val="000000"/>
          <w:kern w:val="2"/>
          <w:sz w:val="32"/>
          <w:szCs w:val="32"/>
          <w:lang w:val="en-US" w:eastAsia="zh-CN" w:bidi="ar-SA"/>
        </w:rPr>
        <w:t>与多个发电企业签约，总用电量低于总合同电量的，该</w:t>
      </w:r>
      <w:r>
        <w:rPr>
          <w:rFonts w:hint="eastAsia" w:ascii="方正仿宋_GBK" w:hAnsi="方正仿宋_GBK" w:eastAsia="方正仿宋_GBK" w:cs="方正仿宋_GBK"/>
          <w:color w:val="000000"/>
          <w:kern w:val="2"/>
          <w:sz w:val="32"/>
          <w:szCs w:val="32"/>
          <w:lang w:val="en-US" w:eastAsia="zh-CN" w:bidi="ar-SA"/>
        </w:rPr>
        <w:t>零售用户</w:t>
      </w:r>
      <w:r>
        <w:rPr>
          <w:rFonts w:hint="default" w:ascii="方正仿宋_GBK" w:hAnsi="方正仿宋_GBK" w:eastAsia="方正仿宋_GBK" w:cs="方正仿宋_GBK"/>
          <w:color w:val="000000"/>
          <w:kern w:val="2"/>
          <w:sz w:val="32"/>
          <w:szCs w:val="32"/>
          <w:lang w:val="en-US" w:eastAsia="zh-CN" w:bidi="ar-SA"/>
        </w:rPr>
        <w:t>对应于各发电企业的用电量按总用电量占总合同电量比重等比例调减</w:t>
      </w:r>
      <w:r>
        <w:rPr>
          <w:rFonts w:hint="eastAsia" w:ascii="方正仿宋_GBK" w:hAnsi="方正仿宋_GBK" w:eastAsia="方正仿宋_GBK"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同一发电企业与多个</w:t>
      </w:r>
      <w:r>
        <w:rPr>
          <w:rFonts w:hint="eastAsia" w:ascii="方正仿宋_GBK" w:hAnsi="方正仿宋_GBK" w:eastAsia="方正仿宋_GBK" w:cs="方正仿宋_GBK"/>
          <w:color w:val="000000"/>
          <w:kern w:val="2"/>
          <w:sz w:val="32"/>
          <w:szCs w:val="32"/>
          <w:lang w:val="en-US" w:eastAsia="zh-CN" w:bidi="ar-SA"/>
        </w:rPr>
        <w:t>零售用户</w:t>
      </w:r>
      <w:r>
        <w:rPr>
          <w:rFonts w:hint="default" w:ascii="方正仿宋_GBK" w:hAnsi="方正仿宋_GBK" w:eastAsia="方正仿宋_GBK" w:cs="方正仿宋_GBK"/>
          <w:color w:val="000000"/>
          <w:kern w:val="2"/>
          <w:sz w:val="32"/>
          <w:szCs w:val="32"/>
          <w:lang w:val="en-US" w:eastAsia="zh-CN" w:bidi="ar-SA"/>
        </w:rPr>
        <w:t>签约的，总上网电量</w:t>
      </w:r>
      <w:r>
        <w:rPr>
          <w:rFonts w:hint="eastAsia" w:ascii="方正仿宋_GBK" w:hAnsi="方正仿宋_GBK" w:eastAsia="方正仿宋_GBK"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扣减机制电量</w:t>
      </w:r>
      <w:r>
        <w:rPr>
          <w:rFonts w:hint="eastAsia" w:ascii="方正仿宋_GBK" w:hAnsi="方正仿宋_GBK" w:eastAsia="方正仿宋_GBK"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低于总合同电量时，该发电企业对应于各</w:t>
      </w:r>
      <w:r>
        <w:rPr>
          <w:rFonts w:hint="eastAsia" w:ascii="方正仿宋_GBK" w:hAnsi="方正仿宋_GBK" w:eastAsia="方正仿宋_GBK" w:cs="方正仿宋_GBK"/>
          <w:color w:val="000000"/>
          <w:kern w:val="2"/>
          <w:sz w:val="32"/>
          <w:szCs w:val="32"/>
          <w:lang w:val="en-US" w:eastAsia="zh-CN" w:bidi="ar-SA"/>
        </w:rPr>
        <w:t>零售用户</w:t>
      </w:r>
      <w:r>
        <w:rPr>
          <w:rFonts w:hint="default" w:ascii="方正仿宋_GBK" w:hAnsi="方正仿宋_GBK" w:eastAsia="方正仿宋_GBK" w:cs="方正仿宋_GBK"/>
          <w:color w:val="000000"/>
          <w:kern w:val="2"/>
          <w:sz w:val="32"/>
          <w:szCs w:val="32"/>
          <w:lang w:val="en-US" w:eastAsia="zh-CN" w:bidi="ar-SA"/>
        </w:rPr>
        <w:t>的上网电量</w:t>
      </w:r>
      <w:r>
        <w:rPr>
          <w:rFonts w:hint="eastAsia" w:ascii="方正仿宋_GBK" w:hAnsi="方正仿宋_GBK" w:eastAsia="方正仿宋_GBK"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扣减机制电量</w:t>
      </w:r>
      <w:r>
        <w:rPr>
          <w:rFonts w:hint="eastAsia" w:ascii="方正仿宋_GBK" w:hAnsi="方正仿宋_GBK" w:eastAsia="方正仿宋_GBK"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按总上网电量占总合同电量比重等比例调减。</w:t>
      </w:r>
    </w:p>
    <w:p>
      <w:pPr>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1"/>
        <w:rPr>
          <w:rFonts w:hint="default"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（三）现货交易</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0" w:firstLineChars="200"/>
        <w:jc w:val="both"/>
        <w:textAlignment w:val="baseline"/>
        <w:rPr>
          <w:rFonts w:hint="eastAsia"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虚拟电厂</w:t>
      </w:r>
      <w:r>
        <w:rPr>
          <w:rFonts w:hint="eastAsia" w:cs="方正仿宋_GBK"/>
          <w:color w:val="000000"/>
          <w:kern w:val="2"/>
          <w:sz w:val="32"/>
          <w:szCs w:val="32"/>
          <w:lang w:val="en-US" w:eastAsia="zh-CN" w:bidi="ar-SA"/>
        </w:rPr>
        <w:t>参与现货市场交易</w:t>
      </w:r>
      <w:r>
        <w:rPr>
          <w:rFonts w:hint="eastAsia" w:ascii="方正仿宋_GBK" w:hAnsi="方正仿宋_GBK" w:eastAsia="方正仿宋_GBK" w:cs="方正仿宋_GBK"/>
          <w:color w:val="000000"/>
          <w:kern w:val="2"/>
          <w:sz w:val="32"/>
          <w:szCs w:val="32"/>
          <w:lang w:val="en-US" w:eastAsia="zh-CN" w:bidi="ar-SA"/>
        </w:rPr>
        <w:t>按</w:t>
      </w:r>
      <w:r>
        <w:rPr>
          <w:rFonts w:hint="eastAsia" w:cs="方正仿宋_GBK"/>
          <w:color w:val="000000"/>
          <w:kern w:val="2"/>
          <w:sz w:val="32"/>
          <w:szCs w:val="32"/>
          <w:lang w:val="en-US" w:eastAsia="zh-CN" w:bidi="ar-SA"/>
        </w:rPr>
        <w:t>湖南</w:t>
      </w:r>
      <w:r>
        <w:rPr>
          <w:rFonts w:hint="eastAsia" w:ascii="方正仿宋_GBK" w:hAnsi="方正仿宋_GBK" w:eastAsia="方正仿宋_GBK" w:cs="方正仿宋_GBK"/>
          <w:color w:val="000000"/>
          <w:kern w:val="2"/>
          <w:sz w:val="32"/>
          <w:szCs w:val="32"/>
          <w:lang w:val="en-US" w:eastAsia="zh-CN" w:bidi="ar-SA"/>
        </w:rPr>
        <w:t>电力现货市场规则执行</w:t>
      </w:r>
      <w:r>
        <w:rPr>
          <w:rFonts w:hint="eastAsia" w:cs="方正仿宋_GBK"/>
          <w:color w:val="000000"/>
          <w:kern w:val="2"/>
          <w:sz w:val="32"/>
          <w:szCs w:val="32"/>
          <w:lang w:val="en-US" w:eastAsia="zh-CN" w:bidi="ar-SA"/>
        </w:rPr>
        <w:t>。</w:t>
      </w:r>
    </w:p>
    <w:p>
      <w:pPr>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1"/>
        <w:rPr>
          <w:rFonts w:hint="default"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（四）辅助服务、省间电力互济</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0" w:firstLineChars="200"/>
        <w:jc w:val="both"/>
        <w:textAlignment w:val="baseline"/>
        <w:rPr>
          <w:rFonts w:hint="eastAsia"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按照国家能源局华中监管局相关规则参与</w:t>
      </w:r>
      <w:r>
        <w:rPr>
          <w:rFonts w:hint="eastAsia" w:cs="方正仿宋_GBK"/>
          <w:color w:val="000000"/>
          <w:kern w:val="2"/>
          <w:sz w:val="32"/>
          <w:szCs w:val="32"/>
          <w:lang w:val="en-US" w:eastAsia="zh-CN" w:bidi="ar-SA"/>
        </w:rPr>
        <w:t>省间电力</w:t>
      </w:r>
      <w:r>
        <w:rPr>
          <w:rFonts w:hint="eastAsia" w:ascii="方正仿宋_GBK" w:hAnsi="方正仿宋_GBK" w:eastAsia="方正仿宋_GBK" w:cs="方正仿宋_GBK"/>
          <w:color w:val="000000"/>
          <w:kern w:val="2"/>
          <w:sz w:val="32"/>
          <w:szCs w:val="32"/>
          <w:lang w:val="en-US" w:eastAsia="zh-CN" w:bidi="ar-SA"/>
        </w:rPr>
        <w:t>互济市场，按照省内辅助服务规则参与省内辅助服务市场</w:t>
      </w:r>
      <w:r>
        <w:rPr>
          <w:rFonts w:hint="eastAsia" w:cs="方正仿宋_GBK"/>
          <w:color w:val="000000"/>
          <w:kern w:val="2"/>
          <w:sz w:val="32"/>
          <w:szCs w:val="32"/>
          <w:lang w:val="en-US" w:eastAsia="zh-CN" w:bidi="ar-SA"/>
        </w:rPr>
        <w:t>。</w:t>
      </w:r>
    </w:p>
    <w:p>
      <w:pPr>
        <w:pStyle w:val="4"/>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firstLine="640" w:firstLineChars="200"/>
        <w:jc w:val="both"/>
        <w:textAlignment w:val="auto"/>
        <w:outlineLvl w:val="0"/>
        <w:rPr>
          <w:rFonts w:hint="default" w:ascii="仿宋_GB2312" w:hAnsi="仿宋_GB2312" w:eastAsia="方正黑体_GBK" w:cs="Times New Roman"/>
          <w:snapToGrid/>
          <w:color w:val="auto"/>
          <w:kern w:val="2"/>
          <w:lang w:val="en-US" w:eastAsia="zh-CN" w:bidi="ar-SA"/>
        </w:rPr>
      </w:pPr>
      <w:r>
        <w:rPr>
          <w:rFonts w:hint="eastAsia" w:ascii="仿宋_GB2312" w:hAnsi="仿宋_GB2312" w:eastAsia="方正黑体_GBK" w:cs="Times New Roman"/>
          <w:snapToGrid/>
          <w:color w:val="auto"/>
          <w:kern w:val="2"/>
          <w:lang w:val="en-US" w:eastAsia="zh-CN" w:bidi="ar-SA"/>
        </w:rPr>
        <w:t>六</w:t>
      </w:r>
      <w:r>
        <w:rPr>
          <w:rFonts w:hint="default" w:ascii="仿宋_GB2312" w:hAnsi="仿宋_GB2312" w:eastAsia="方正黑体_GBK" w:cs="Times New Roman"/>
          <w:snapToGrid/>
          <w:color w:val="auto"/>
          <w:kern w:val="2"/>
          <w:lang w:val="en-US" w:eastAsia="zh-CN" w:bidi="ar-SA"/>
        </w:rPr>
        <w:t>、计量与结算</w:t>
      </w:r>
    </w:p>
    <w:p>
      <w:pPr>
        <w:pStyle w:val="5"/>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1"/>
        <w:rPr>
          <w:rFonts w:hint="default"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w:t>
      </w:r>
      <w:r>
        <w:rPr>
          <w:rFonts w:hint="default" w:ascii="Calibri" w:hAnsi="Calibri" w:eastAsia="方正楷体_GBK" w:cs="Times New Roman"/>
          <w:b w:val="0"/>
          <w:snapToGrid/>
          <w:color w:val="auto"/>
          <w:kern w:val="2"/>
          <w:sz w:val="32"/>
          <w:lang w:val="en-US" w:eastAsia="zh-CN" w:bidi="ar-SA"/>
        </w:rPr>
        <w:t>一</w:t>
      </w:r>
      <w:r>
        <w:rPr>
          <w:rFonts w:hint="eastAsia" w:ascii="Calibri" w:hAnsi="Calibri" w:eastAsia="方正楷体_GBK" w:cs="Times New Roman"/>
          <w:b w:val="0"/>
          <w:snapToGrid/>
          <w:color w:val="auto"/>
          <w:kern w:val="2"/>
          <w:sz w:val="32"/>
          <w:lang w:val="en-US" w:eastAsia="zh-CN" w:bidi="ar-SA"/>
        </w:rPr>
        <w:t>）</w:t>
      </w:r>
      <w:r>
        <w:rPr>
          <w:rFonts w:hint="default" w:ascii="Calibri" w:hAnsi="Calibri" w:eastAsia="方正楷体_GBK" w:cs="Times New Roman"/>
          <w:b w:val="0"/>
          <w:snapToGrid/>
          <w:color w:val="auto"/>
          <w:kern w:val="2"/>
          <w:sz w:val="32"/>
          <w:lang w:val="en-US" w:eastAsia="zh-CN" w:bidi="ar-SA"/>
        </w:rPr>
        <w:t>计量</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0" w:firstLineChars="200"/>
        <w:jc w:val="both"/>
        <w:textAlignment w:val="baseline"/>
        <w:rPr>
          <w:rFonts w:hint="default" w:ascii="方正仿宋_GBK" w:hAnsi="方正仿宋_GBK" w:eastAsia="方正仿宋_GBK" w:cs="方正仿宋_GBK"/>
          <w:color w:val="000000"/>
          <w:kern w:val="2"/>
          <w:sz w:val="32"/>
          <w:szCs w:val="32"/>
          <w:lang w:val="en-US" w:eastAsia="zh-CN" w:bidi="ar-SA"/>
        </w:rPr>
      </w:pPr>
      <w:r>
        <w:rPr>
          <w:rFonts w:hint="default" w:ascii="方正仿宋_GBK" w:hAnsi="方正仿宋_GBK" w:eastAsia="方正仿宋_GBK" w:cs="方正仿宋_GBK"/>
          <w:color w:val="000000"/>
          <w:kern w:val="2"/>
          <w:sz w:val="32"/>
          <w:szCs w:val="32"/>
          <w:lang w:val="en-US" w:eastAsia="zh-CN" w:bidi="ar-SA"/>
        </w:rPr>
        <w:t>虚拟电厂及相关聚合资源主体，均按照参与电能量和辅助服务交易</w:t>
      </w:r>
      <w:r>
        <w:rPr>
          <w:rFonts w:hint="eastAsia" w:cs="方正仿宋_GBK"/>
          <w:color w:val="000000"/>
          <w:kern w:val="2"/>
          <w:sz w:val="32"/>
          <w:szCs w:val="32"/>
          <w:lang w:val="en-US" w:eastAsia="zh-CN" w:bidi="ar-SA"/>
        </w:rPr>
        <w:t>的相关要求</w:t>
      </w:r>
      <w:r>
        <w:rPr>
          <w:rFonts w:hint="default" w:ascii="方正仿宋_GBK" w:hAnsi="方正仿宋_GBK" w:eastAsia="方正仿宋_GBK" w:cs="方正仿宋_GBK"/>
          <w:color w:val="000000"/>
          <w:kern w:val="2"/>
          <w:sz w:val="32"/>
          <w:szCs w:val="32"/>
          <w:lang w:val="en-US" w:eastAsia="zh-CN" w:bidi="ar-SA"/>
        </w:rPr>
        <w:t>，依据</w:t>
      </w:r>
      <w:r>
        <w:rPr>
          <w:rFonts w:hint="eastAsia" w:cs="方正仿宋_GBK"/>
          <w:color w:val="000000"/>
          <w:kern w:val="2"/>
          <w:sz w:val="32"/>
          <w:szCs w:val="32"/>
          <w:lang w:val="en-US" w:eastAsia="zh-CN" w:bidi="ar-SA"/>
        </w:rPr>
        <w:t>电网企业</w:t>
      </w:r>
      <w:r>
        <w:rPr>
          <w:rFonts w:hint="default" w:ascii="方正仿宋_GBK" w:hAnsi="方正仿宋_GBK" w:eastAsia="方正仿宋_GBK" w:cs="方正仿宋_GBK"/>
          <w:color w:val="000000"/>
          <w:kern w:val="2"/>
          <w:sz w:val="32"/>
          <w:szCs w:val="32"/>
          <w:lang w:val="en-US" w:eastAsia="zh-CN" w:bidi="ar-SA"/>
        </w:rPr>
        <w:t>电能量计量装置数据</w:t>
      </w:r>
      <w:r>
        <w:rPr>
          <w:rFonts w:hint="eastAsia"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或拟合数据</w:t>
      </w:r>
      <w:r>
        <w:rPr>
          <w:rFonts w:hint="eastAsia" w:cs="方正仿宋_GBK"/>
          <w:color w:val="000000"/>
          <w:kern w:val="2"/>
          <w:sz w:val="32"/>
          <w:szCs w:val="32"/>
          <w:lang w:val="en-US" w:eastAsia="zh-CN" w:bidi="ar-SA"/>
        </w:rPr>
        <w:t>）</w:t>
      </w:r>
      <w:r>
        <w:rPr>
          <w:rFonts w:hint="default" w:ascii="方正仿宋_GBK" w:hAnsi="方正仿宋_GBK" w:eastAsia="方正仿宋_GBK" w:cs="方正仿宋_GBK"/>
          <w:color w:val="000000"/>
          <w:kern w:val="2"/>
          <w:sz w:val="32"/>
          <w:szCs w:val="32"/>
          <w:lang w:val="en-US" w:eastAsia="zh-CN" w:bidi="ar-SA"/>
        </w:rPr>
        <w:t>确定电量数据。</w:t>
      </w:r>
    </w:p>
    <w:p>
      <w:pPr>
        <w:pStyle w:val="5"/>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outlineLvl w:val="1"/>
        <w:rPr>
          <w:rFonts w:hint="default" w:ascii="Calibri" w:hAnsi="Calibri" w:eastAsia="方正楷体_GBK" w:cs="Times New Roman"/>
          <w:b w:val="0"/>
          <w:snapToGrid/>
          <w:color w:val="auto"/>
          <w:kern w:val="2"/>
          <w:sz w:val="32"/>
          <w:lang w:val="en-US" w:eastAsia="zh-CN" w:bidi="ar-SA"/>
        </w:rPr>
      </w:pPr>
      <w:r>
        <w:rPr>
          <w:rFonts w:hint="eastAsia" w:ascii="Calibri" w:hAnsi="Calibri" w:eastAsia="方正楷体_GBK" w:cs="Times New Roman"/>
          <w:b w:val="0"/>
          <w:snapToGrid/>
          <w:color w:val="auto"/>
          <w:kern w:val="2"/>
          <w:sz w:val="32"/>
          <w:lang w:val="en-US" w:eastAsia="zh-CN" w:bidi="ar-SA"/>
        </w:rPr>
        <w:t>（</w:t>
      </w:r>
      <w:r>
        <w:rPr>
          <w:rFonts w:hint="default" w:ascii="Calibri" w:hAnsi="Calibri" w:eastAsia="方正楷体_GBK" w:cs="Times New Roman"/>
          <w:b w:val="0"/>
          <w:snapToGrid/>
          <w:color w:val="auto"/>
          <w:kern w:val="2"/>
          <w:sz w:val="32"/>
          <w:lang w:val="en-US" w:eastAsia="zh-CN" w:bidi="ar-SA"/>
        </w:rPr>
        <w:t>二</w:t>
      </w:r>
      <w:r>
        <w:rPr>
          <w:rFonts w:hint="eastAsia" w:ascii="Calibri" w:hAnsi="Calibri" w:eastAsia="方正楷体_GBK" w:cs="Times New Roman"/>
          <w:b w:val="0"/>
          <w:snapToGrid/>
          <w:color w:val="auto"/>
          <w:kern w:val="2"/>
          <w:sz w:val="32"/>
          <w:lang w:val="en-US" w:eastAsia="zh-CN" w:bidi="ar-SA"/>
        </w:rPr>
        <w:t>）</w:t>
      </w:r>
      <w:r>
        <w:rPr>
          <w:rFonts w:hint="default" w:ascii="Calibri" w:hAnsi="Calibri" w:eastAsia="方正楷体_GBK" w:cs="Times New Roman"/>
          <w:b w:val="0"/>
          <w:snapToGrid/>
          <w:color w:val="auto"/>
          <w:kern w:val="2"/>
          <w:sz w:val="32"/>
          <w:lang w:val="en-US" w:eastAsia="zh-CN" w:bidi="ar-SA"/>
        </w:rPr>
        <w:t>结算</w:t>
      </w:r>
    </w:p>
    <w:p>
      <w:pPr>
        <w:spacing w:line="580" w:lineRule="exact"/>
        <w:ind w:firstLine="640" w:firstLineChars="200"/>
        <w:jc w:val="both"/>
        <w:rPr>
          <w:rFonts w:hint="eastAsia" w:ascii="方正仿宋_GBK" w:hAnsi="方正仿宋_GBK" w:eastAsia="方正仿宋_GBK" w:cs="方正仿宋_GBK"/>
          <w:color w:val="000000"/>
          <w:kern w:val="2"/>
          <w:sz w:val="32"/>
          <w:szCs w:val="32"/>
          <w:highlight w:val="none"/>
          <w:lang w:val="en-US" w:eastAsia="zh-CN" w:bidi="ar-SA"/>
        </w:rPr>
      </w:pPr>
      <w:r>
        <w:rPr>
          <w:rFonts w:hint="default" w:ascii="方正仿宋_GBK" w:hAnsi="方正仿宋_GBK" w:eastAsia="方正仿宋_GBK" w:cs="方正仿宋_GBK"/>
          <w:color w:val="000000"/>
          <w:kern w:val="2"/>
          <w:sz w:val="32"/>
          <w:szCs w:val="32"/>
          <w:lang w:val="en-US" w:eastAsia="zh-CN" w:bidi="ar-SA"/>
        </w:rPr>
        <w:t>虚拟电厂</w:t>
      </w:r>
      <w:r>
        <w:rPr>
          <w:rFonts w:hint="eastAsia" w:ascii="方正仿宋_GBK" w:hAnsi="方正仿宋_GBK" w:eastAsia="方正仿宋_GBK" w:cs="方正仿宋_GBK"/>
          <w:color w:val="000000"/>
          <w:kern w:val="2"/>
          <w:sz w:val="32"/>
          <w:szCs w:val="32"/>
          <w:lang w:val="en-US" w:eastAsia="zh-CN" w:bidi="ar-SA"/>
        </w:rPr>
        <w:t>与聚合资源主体应分别结算。</w:t>
      </w:r>
      <w:r>
        <w:rPr>
          <w:rFonts w:hint="default" w:ascii="方正仿宋_GBK" w:hAnsi="方正仿宋_GBK" w:eastAsia="方正仿宋_GBK" w:cs="方正仿宋_GBK"/>
          <w:color w:val="000000"/>
          <w:kern w:val="2"/>
          <w:sz w:val="32"/>
          <w:szCs w:val="32"/>
          <w:lang w:val="en-US" w:eastAsia="zh-CN" w:bidi="ar-SA"/>
        </w:rPr>
        <w:t>虚拟电厂按照电力市场有关结算规则、实施细则</w:t>
      </w:r>
      <w:r>
        <w:rPr>
          <w:rFonts w:hint="eastAsia" w:ascii="方正仿宋_GBK" w:hAnsi="方正仿宋_GBK" w:eastAsia="方正仿宋_GBK" w:cs="方正仿宋_GBK"/>
          <w:color w:val="000000"/>
          <w:kern w:val="2"/>
          <w:sz w:val="32"/>
          <w:szCs w:val="32"/>
          <w:lang w:val="en-US" w:eastAsia="zh-CN" w:bidi="ar-SA"/>
        </w:rPr>
        <w:t>和</w:t>
      </w:r>
      <w:r>
        <w:rPr>
          <w:rFonts w:hint="default" w:ascii="方正仿宋_GBK" w:hAnsi="方正仿宋_GBK" w:eastAsia="方正仿宋_GBK" w:cs="方正仿宋_GBK"/>
          <w:color w:val="000000"/>
          <w:kern w:val="2"/>
          <w:sz w:val="32"/>
          <w:szCs w:val="32"/>
          <w:lang w:val="en-US" w:eastAsia="zh-CN" w:bidi="ar-SA"/>
        </w:rPr>
        <w:t>聚合服务合同开展批发市场、零售市场、绿电市场结算，由</w:t>
      </w:r>
      <w:r>
        <w:rPr>
          <w:rFonts w:hint="eastAsia" w:ascii="方正仿宋_GBK" w:hAnsi="方正仿宋_GBK" w:eastAsia="方正仿宋_GBK" w:cs="方正仿宋_GBK"/>
          <w:color w:val="000000"/>
          <w:kern w:val="2"/>
          <w:sz w:val="32"/>
          <w:szCs w:val="32"/>
          <w:lang w:val="en-US" w:eastAsia="zh-CN" w:bidi="ar-SA"/>
        </w:rPr>
        <w:t>湖南</w:t>
      </w:r>
      <w:r>
        <w:rPr>
          <w:rFonts w:hint="default" w:ascii="方正仿宋_GBK" w:hAnsi="方正仿宋_GBK" w:eastAsia="方正仿宋_GBK" w:cs="方正仿宋_GBK"/>
          <w:color w:val="000000"/>
          <w:kern w:val="2"/>
          <w:sz w:val="32"/>
          <w:szCs w:val="32"/>
          <w:lang w:val="en-US" w:eastAsia="zh-CN" w:bidi="ar-SA"/>
        </w:rPr>
        <w:t>电力交易中心出具结算依据。聚合资源主体</w:t>
      </w:r>
      <w:r>
        <w:rPr>
          <w:rFonts w:hint="eastAsia" w:ascii="方正仿宋_GBK" w:hAnsi="方正仿宋_GBK" w:eastAsia="方正仿宋_GBK" w:cs="方正仿宋_GBK"/>
          <w:color w:val="000000"/>
          <w:kern w:val="2"/>
          <w:sz w:val="32"/>
          <w:szCs w:val="32"/>
          <w:lang w:val="en-US" w:eastAsia="zh-CN" w:bidi="ar-SA"/>
        </w:rPr>
        <w:t>按照与虚拟电厂运</w:t>
      </w:r>
      <w:r>
        <w:rPr>
          <w:rFonts w:hint="default" w:ascii="方正仿宋_GBK" w:hAnsi="方正仿宋_GBK" w:eastAsia="方正仿宋_GBK" w:cs="方正仿宋_GBK"/>
          <w:color w:val="000000"/>
          <w:kern w:val="2"/>
          <w:sz w:val="32"/>
          <w:szCs w:val="32"/>
          <w:lang w:val="en-US" w:eastAsia="zh-CN" w:bidi="ar-SA"/>
        </w:rPr>
        <w:t>营</w:t>
      </w:r>
      <w:r>
        <w:rPr>
          <w:rFonts w:hint="eastAsia" w:ascii="方正仿宋_GBK" w:hAnsi="方正仿宋_GBK" w:eastAsia="方正仿宋_GBK" w:cs="方正仿宋_GBK"/>
          <w:color w:val="000000"/>
          <w:kern w:val="2"/>
          <w:sz w:val="32"/>
          <w:szCs w:val="32"/>
          <w:lang w:val="en-US" w:eastAsia="zh-CN" w:bidi="ar-SA"/>
        </w:rPr>
        <w:t>商签订的</w:t>
      </w:r>
      <w:r>
        <w:rPr>
          <w:rFonts w:hint="default" w:ascii="方正仿宋_GBK" w:hAnsi="方正仿宋_GBK" w:eastAsia="方正仿宋_GBK" w:cs="方正仿宋_GBK"/>
          <w:color w:val="000000"/>
          <w:kern w:val="2"/>
          <w:sz w:val="32"/>
          <w:szCs w:val="32"/>
          <w:lang w:val="en-US" w:eastAsia="zh-CN" w:bidi="ar-SA"/>
        </w:rPr>
        <w:t>聚合服务合同</w:t>
      </w:r>
      <w:r>
        <w:rPr>
          <w:rFonts w:hint="eastAsia" w:ascii="方正仿宋_GBK" w:hAnsi="方正仿宋_GBK" w:eastAsia="方正仿宋_GBK" w:cs="方正仿宋_GBK"/>
          <w:color w:val="000000"/>
          <w:kern w:val="2"/>
          <w:sz w:val="32"/>
          <w:szCs w:val="32"/>
          <w:lang w:val="en-US" w:eastAsia="zh-CN" w:bidi="ar-SA"/>
        </w:rPr>
        <w:t>进行电能量</w:t>
      </w:r>
      <w:r>
        <w:rPr>
          <w:rFonts w:hint="default" w:ascii="方正仿宋_GBK" w:hAnsi="方正仿宋_GBK" w:eastAsia="方正仿宋_GBK" w:cs="方正仿宋_GBK"/>
          <w:color w:val="000000"/>
          <w:kern w:val="2"/>
          <w:sz w:val="32"/>
          <w:szCs w:val="32"/>
          <w:lang w:val="en-US" w:eastAsia="zh-CN" w:bidi="ar-SA"/>
        </w:rPr>
        <w:t>市场</w:t>
      </w:r>
      <w:r>
        <w:rPr>
          <w:rFonts w:hint="eastAsia" w:ascii="方正仿宋_GBK" w:hAnsi="方正仿宋_GBK" w:eastAsia="方正仿宋_GBK" w:cs="方正仿宋_GBK"/>
          <w:color w:val="000000"/>
          <w:kern w:val="2"/>
          <w:sz w:val="32"/>
          <w:szCs w:val="32"/>
          <w:lang w:val="en-US" w:eastAsia="zh-CN" w:bidi="ar-SA"/>
        </w:rPr>
        <w:t>结算。</w:t>
      </w:r>
      <w:r>
        <w:rPr>
          <w:rFonts w:hint="default" w:ascii="方正仿宋_GBK" w:hAnsi="方正仿宋_GBK" w:eastAsia="方正仿宋_GBK" w:cs="方正仿宋_GBK"/>
          <w:color w:val="000000"/>
          <w:kern w:val="2"/>
          <w:sz w:val="32"/>
          <w:szCs w:val="32"/>
          <w:lang w:val="en-US" w:eastAsia="zh-CN" w:bidi="ar-SA"/>
        </w:rPr>
        <w:t>虚拟电厂聚合资源</w:t>
      </w:r>
      <w:r>
        <w:rPr>
          <w:rFonts w:hint="eastAsia" w:ascii="方正仿宋_GBK" w:hAnsi="方正仿宋_GBK" w:eastAsia="方正仿宋_GBK" w:cs="方正仿宋_GBK"/>
          <w:color w:val="000000"/>
          <w:kern w:val="2"/>
          <w:sz w:val="32"/>
          <w:szCs w:val="32"/>
          <w:lang w:val="en-US" w:eastAsia="zh-CN" w:bidi="ar-SA"/>
        </w:rPr>
        <w:t>主体</w:t>
      </w:r>
      <w:r>
        <w:rPr>
          <w:rFonts w:hint="default" w:ascii="方正仿宋_GBK" w:hAnsi="方正仿宋_GBK" w:eastAsia="方正仿宋_GBK" w:cs="方正仿宋_GBK"/>
          <w:color w:val="000000"/>
          <w:kern w:val="2"/>
          <w:sz w:val="32"/>
          <w:szCs w:val="32"/>
          <w:lang w:val="en-US" w:eastAsia="zh-CN" w:bidi="ar-SA"/>
        </w:rPr>
        <w:t>应公平承担市场运营费用等，</w:t>
      </w:r>
      <w:r>
        <w:rPr>
          <w:rFonts w:hint="eastAsia" w:ascii="方正仿宋_GBK" w:hAnsi="方正仿宋_GBK" w:eastAsia="方正仿宋_GBK" w:cs="方正仿宋_GBK"/>
          <w:color w:val="000000"/>
          <w:kern w:val="2"/>
          <w:sz w:val="32"/>
          <w:szCs w:val="32"/>
          <w:lang w:val="en-US" w:eastAsia="zh-CN" w:bidi="ar-SA"/>
        </w:rPr>
        <w:t>并</w:t>
      </w:r>
      <w:r>
        <w:rPr>
          <w:rFonts w:hint="default" w:ascii="方正仿宋_GBK" w:hAnsi="方正仿宋_GBK" w:eastAsia="方正仿宋_GBK" w:cs="方正仿宋_GBK"/>
          <w:color w:val="000000"/>
          <w:kern w:val="2"/>
          <w:sz w:val="32"/>
          <w:szCs w:val="32"/>
          <w:lang w:val="en-US" w:eastAsia="zh-CN" w:bidi="ar-SA"/>
        </w:rPr>
        <w:t>按照上下网电量分别计算分摊费用。电网企业依据</w:t>
      </w:r>
      <w:r>
        <w:rPr>
          <w:rFonts w:hint="eastAsia" w:ascii="方正仿宋_GBK" w:hAnsi="方正仿宋_GBK" w:eastAsia="方正仿宋_GBK" w:cs="方正仿宋_GBK"/>
          <w:color w:val="000000"/>
          <w:kern w:val="2"/>
          <w:sz w:val="32"/>
          <w:szCs w:val="32"/>
          <w:lang w:val="en-US" w:eastAsia="zh-CN" w:bidi="ar-SA"/>
        </w:rPr>
        <w:t>湖南</w:t>
      </w:r>
      <w:r>
        <w:rPr>
          <w:rFonts w:hint="default" w:ascii="方正仿宋_GBK" w:hAnsi="方正仿宋_GBK" w:eastAsia="方正仿宋_GBK" w:cs="方正仿宋_GBK"/>
          <w:color w:val="000000"/>
          <w:kern w:val="2"/>
          <w:sz w:val="32"/>
          <w:szCs w:val="32"/>
          <w:lang w:val="en-US" w:eastAsia="zh-CN" w:bidi="ar-SA"/>
        </w:rPr>
        <w:t>电力交易中心</w:t>
      </w:r>
      <w:r>
        <w:rPr>
          <w:rFonts w:hint="eastAsia" w:ascii="方正仿宋_GBK" w:hAnsi="方正仿宋_GBK" w:eastAsia="方正仿宋_GBK" w:cs="方正仿宋_GBK"/>
          <w:color w:val="000000"/>
          <w:kern w:val="2"/>
          <w:sz w:val="32"/>
          <w:szCs w:val="32"/>
          <w:lang w:val="en-US" w:eastAsia="zh-CN" w:bidi="ar-SA"/>
        </w:rPr>
        <w:t>出具的</w:t>
      </w:r>
      <w:r>
        <w:rPr>
          <w:rFonts w:hint="default" w:ascii="方正仿宋_GBK" w:hAnsi="方正仿宋_GBK" w:eastAsia="方正仿宋_GBK" w:cs="方正仿宋_GBK"/>
          <w:color w:val="000000"/>
          <w:kern w:val="2"/>
          <w:sz w:val="32"/>
          <w:szCs w:val="32"/>
          <w:lang w:val="en-US" w:eastAsia="zh-CN" w:bidi="ar-SA"/>
        </w:rPr>
        <w:t>结算依据</w:t>
      </w:r>
      <w:r>
        <w:rPr>
          <w:rFonts w:hint="default" w:ascii="方正仿宋_GBK" w:hAnsi="方正仿宋_GBK" w:eastAsia="方正仿宋_GBK" w:cs="方正仿宋_GBK"/>
          <w:color w:val="000000"/>
          <w:kern w:val="2"/>
          <w:sz w:val="32"/>
          <w:szCs w:val="32"/>
          <w:highlight w:val="none"/>
          <w:lang w:val="en-US" w:eastAsia="zh-CN" w:bidi="ar-SA"/>
        </w:rPr>
        <w:t>，</w:t>
      </w:r>
      <w:r>
        <w:rPr>
          <w:rFonts w:hint="eastAsia" w:ascii="方正仿宋_GBK" w:hAnsi="方正仿宋_GBK" w:eastAsia="方正仿宋_GBK" w:cs="方正仿宋_GBK"/>
          <w:color w:val="000000"/>
          <w:kern w:val="2"/>
          <w:sz w:val="32"/>
          <w:szCs w:val="32"/>
          <w:highlight w:val="none"/>
          <w:lang w:val="en-US" w:eastAsia="zh-CN" w:bidi="ar-SA"/>
        </w:rPr>
        <w:t>对</w:t>
      </w:r>
      <w:r>
        <w:rPr>
          <w:rFonts w:hint="default" w:ascii="方正仿宋_GBK" w:hAnsi="方正仿宋_GBK" w:eastAsia="方正仿宋_GBK" w:cs="方正仿宋_GBK"/>
          <w:color w:val="000000"/>
          <w:kern w:val="2"/>
          <w:sz w:val="32"/>
          <w:szCs w:val="32"/>
          <w:lang w:val="en-US" w:eastAsia="zh-CN" w:bidi="ar-SA"/>
        </w:rPr>
        <w:t>虚拟电厂</w:t>
      </w:r>
      <w:r>
        <w:rPr>
          <w:rFonts w:hint="eastAsia" w:ascii="方正仿宋_GBK" w:hAnsi="方正仿宋_GBK" w:eastAsia="方正仿宋_GBK" w:cs="方正仿宋_GBK"/>
          <w:color w:val="000000"/>
          <w:kern w:val="2"/>
          <w:sz w:val="32"/>
          <w:szCs w:val="32"/>
          <w:lang w:val="en-US" w:eastAsia="zh-CN" w:bidi="ar-SA"/>
        </w:rPr>
        <w:t>和聚合资源主体分别进行</w:t>
      </w:r>
      <w:r>
        <w:rPr>
          <w:rFonts w:hint="default" w:ascii="方正仿宋_GBK" w:hAnsi="方正仿宋_GBK" w:eastAsia="方正仿宋_GBK" w:cs="方正仿宋_GBK"/>
          <w:color w:val="000000"/>
          <w:kern w:val="2"/>
          <w:sz w:val="32"/>
          <w:szCs w:val="32"/>
          <w:highlight w:val="none"/>
          <w:lang w:val="en-US" w:eastAsia="zh-CN" w:bidi="ar-SA"/>
        </w:rPr>
        <w:t>电费结算。</w:t>
      </w:r>
    </w:p>
    <w:p>
      <w:pPr>
        <w:pStyle w:val="8"/>
        <w:numPr>
          <w:ilvl w:val="0"/>
          <w:numId w:val="0"/>
        </w:numPr>
        <w:spacing w:afterLines="0" w:line="580" w:lineRule="exact"/>
        <w:ind w:firstLine="640" w:firstLineChars="200"/>
        <w:jc w:val="both"/>
        <w:rPr>
          <w:rFonts w:hint="eastAsia" w:cs="方正仿宋_GBK"/>
          <w:color w:val="000000"/>
          <w:kern w:val="2"/>
          <w:sz w:val="32"/>
          <w:szCs w:val="32"/>
          <w:lang w:val="en-US" w:eastAsia="zh-CN" w:bidi="ar-SA"/>
        </w:rPr>
      </w:pPr>
      <w:r>
        <w:rPr>
          <w:rFonts w:hint="eastAsia" w:cs="方正仿宋_GBK"/>
          <w:color w:val="000000"/>
          <w:kern w:val="2"/>
          <w:sz w:val="32"/>
          <w:szCs w:val="32"/>
          <w:lang w:val="en-US" w:eastAsia="zh-CN" w:bidi="ar-SA"/>
        </w:rPr>
        <w:t>1.</w:t>
      </w:r>
      <w:r>
        <w:rPr>
          <w:rFonts w:hint="eastAsia" w:ascii="方正仿宋_GBK" w:hAnsi="方正仿宋_GBK" w:eastAsia="方正仿宋_GBK" w:cs="方正仿宋_GBK"/>
          <w:color w:val="000000"/>
          <w:kern w:val="2"/>
          <w:sz w:val="32"/>
          <w:szCs w:val="32"/>
          <w:lang w:val="en-US" w:eastAsia="zh-CN" w:bidi="ar-SA"/>
        </w:rPr>
        <w:t>电源类、混合类虚拟电厂发电</w:t>
      </w:r>
      <w:r>
        <w:rPr>
          <w:rFonts w:hint="eastAsia" w:cs="方正仿宋_GBK"/>
          <w:color w:val="000000"/>
          <w:kern w:val="2"/>
          <w:sz w:val="32"/>
          <w:szCs w:val="32"/>
          <w:lang w:val="en-US" w:eastAsia="zh-CN" w:bidi="ar-SA"/>
        </w:rPr>
        <w:t>侧</w:t>
      </w:r>
      <w:r>
        <w:rPr>
          <w:rFonts w:hint="eastAsia" w:ascii="方正仿宋_GBK" w:hAnsi="方正仿宋_GBK" w:eastAsia="方正仿宋_GBK" w:cs="方正仿宋_GBK"/>
          <w:color w:val="000000"/>
          <w:kern w:val="2"/>
          <w:sz w:val="32"/>
          <w:szCs w:val="32"/>
          <w:lang w:val="en-US" w:eastAsia="zh-CN" w:bidi="ar-SA"/>
        </w:rPr>
        <w:t>依据聚合代理合同进行结算</w:t>
      </w:r>
      <w:r>
        <w:rPr>
          <w:rFonts w:hint="eastAsia" w:cs="方正仿宋_GBK"/>
          <w:color w:val="000000"/>
          <w:kern w:val="2"/>
          <w:sz w:val="32"/>
          <w:szCs w:val="32"/>
          <w:lang w:val="en-US" w:eastAsia="zh-CN" w:bidi="ar-SA"/>
        </w:rPr>
        <w:t>。暂设两类套餐：</w:t>
      </w:r>
    </w:p>
    <w:p>
      <w:pPr>
        <w:pStyle w:val="8"/>
        <w:numPr>
          <w:ilvl w:val="0"/>
          <w:numId w:val="0"/>
        </w:numPr>
        <w:spacing w:afterLines="0" w:line="580" w:lineRule="exact"/>
        <w:ind w:firstLine="640" w:firstLineChars="200"/>
        <w:jc w:val="both"/>
        <w:rPr>
          <w:rFonts w:hint="eastAsia" w:cs="方正仿宋_GBK"/>
          <w:color w:val="000000"/>
          <w:kern w:val="2"/>
          <w:sz w:val="32"/>
          <w:szCs w:val="32"/>
          <w:highlight w:val="none"/>
          <w:lang w:val="en-US" w:eastAsia="zh-CN" w:bidi="ar-SA"/>
        </w:rPr>
      </w:pPr>
      <w:r>
        <w:rPr>
          <w:rFonts w:hint="eastAsia" w:cs="方正仿宋_GBK"/>
          <w:color w:val="000000"/>
          <w:kern w:val="2"/>
          <w:sz w:val="32"/>
          <w:szCs w:val="32"/>
          <w:highlight w:val="none"/>
          <w:lang w:val="en-US" w:eastAsia="zh-CN" w:bidi="ar-SA"/>
        </w:rPr>
        <w:t>（1）服务费套餐。计算公式如下：</w:t>
      </w:r>
    </w:p>
    <w:p>
      <w:pPr>
        <w:pStyle w:val="8"/>
        <w:numPr>
          <w:ilvl w:val="0"/>
          <w:numId w:val="0"/>
        </w:numPr>
        <w:spacing w:afterLines="0" w:line="580" w:lineRule="exact"/>
        <w:ind w:firstLine="672" w:firstLineChars="200"/>
        <w:jc w:val="left"/>
        <w:rPr>
          <w:rFonts w:hint="default" w:ascii="仿宋_GB2312" w:hAnsi="Times New Roman" w:eastAsia="仿宋_GB2312" w:cs="仿宋_GB2312"/>
          <w:color w:val="000000"/>
          <w:spacing w:val="8"/>
          <w:kern w:val="2"/>
          <w:szCs w:val="32"/>
          <w:highlight w:val="none"/>
          <w:vertAlign w:val="subscript"/>
          <w:lang w:val="en-US" w:eastAsia="zh-CN"/>
        </w:rPr>
      </w:pPr>
      <w:r>
        <w:rPr>
          <w:rFonts w:ascii="Times New Roman" w:hAnsi="Times New Roman" w:cs="Times New Roman"/>
          <w:color w:val="auto"/>
          <w:spacing w:val="8"/>
          <w:highlight w:val="none"/>
        </w:rPr>
        <w:t>P</w:t>
      </w:r>
      <w:r>
        <w:rPr>
          <w:rFonts w:hint="eastAsia" w:ascii="Times New Roman" w:hAnsi="Times New Roman" w:cs="Times New Roman"/>
          <w:color w:val="auto"/>
          <w:spacing w:val="8"/>
          <w:highlight w:val="none"/>
          <w:vertAlign w:val="subscript"/>
          <w:lang w:val="en-US" w:eastAsia="zh-CN"/>
        </w:rPr>
        <w:t>服务费套餐</w:t>
      </w:r>
      <w:r>
        <w:rPr>
          <w:rFonts w:hint="eastAsia" w:cs="方正仿宋_GBK"/>
          <w:kern w:val="2"/>
          <w:szCs w:val="32"/>
          <w:highlight w:val="none"/>
          <w:lang w:val="en-US" w:eastAsia="zh-CN"/>
        </w:rPr>
        <w:t>=</w:t>
      </w:r>
      <w:r>
        <w:rPr>
          <w:rFonts w:hint="default" w:ascii="Times New Roman" w:hAnsi="Times New Roman" w:eastAsia="仿宋_GB2312" w:cs="Times New Roman"/>
          <w:spacing w:val="8"/>
          <w:kern w:val="2"/>
          <w:sz w:val="32"/>
          <w:szCs w:val="32"/>
          <w:highlight w:val="none"/>
        </w:rPr>
        <w:t>P</w:t>
      </w:r>
      <w:r>
        <w:rPr>
          <w:rFonts w:hint="eastAsia" w:ascii="Times New Roman" w:hAnsi="Times New Roman" w:eastAsia="方正仿宋_GBK" w:cs="Times New Roman"/>
          <w:color w:val="auto"/>
          <w:spacing w:val="8"/>
          <w:kern w:val="0"/>
          <w:sz w:val="32"/>
          <w:szCs w:val="21"/>
          <w:highlight w:val="none"/>
          <w:vertAlign w:val="subscript"/>
          <w:lang w:val="en-US" w:eastAsia="zh-CN"/>
        </w:rPr>
        <w:t>虚拟电厂中长期</w:t>
      </w:r>
      <w:r>
        <w:rPr>
          <w:rFonts w:hint="eastAsia" w:ascii="Times New Roman" w:hAnsi="Times New Roman" w:cs="Times New Roman"/>
          <w:color w:val="auto"/>
          <w:spacing w:val="8"/>
          <w:kern w:val="0"/>
          <w:sz w:val="32"/>
          <w:szCs w:val="21"/>
          <w:highlight w:val="none"/>
          <w:vertAlign w:val="subscript"/>
          <w:lang w:val="en-US" w:eastAsia="zh-CN"/>
        </w:rPr>
        <w:t>综合电价</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val="en-US" w:eastAsia="zh-CN"/>
        </w:rPr>
        <w:t>a</w:t>
      </w:r>
      <w:r>
        <w:rPr>
          <w:rFonts w:hint="eastAsia" w:ascii="Times New Roman" w:hAnsi="Times New Roman" w:eastAsia="仿宋" w:cs="Times New Roman"/>
          <w:color w:val="auto"/>
          <w:highlight w:val="none"/>
          <w:vertAlign w:val="subscript"/>
          <w:lang w:val="en-US" w:eastAsia="zh-CN"/>
        </w:rPr>
        <w:t>1</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eastAsia="zh-CN"/>
        </w:rPr>
        <w:t>（</w:t>
      </w:r>
      <w:r>
        <w:rPr>
          <w:rFonts w:hint="eastAsia" w:ascii="Times New Roman" w:hAnsi="Times New Roman" w:eastAsia="仿宋" w:cs="Times New Roman"/>
          <w:color w:val="auto"/>
          <w:highlight w:val="none"/>
          <w:lang w:val="en-US" w:eastAsia="zh-CN"/>
        </w:rPr>
        <w:t>1-J</w:t>
      </w:r>
      <w:r>
        <w:rPr>
          <w:rFonts w:hint="eastAsia" w:ascii="Times New Roman" w:hAnsi="Times New Roman" w:cs="Times New Roman"/>
          <w:color w:val="auto"/>
          <w:spacing w:val="8"/>
          <w:highlight w:val="none"/>
          <w:vertAlign w:val="subscript"/>
          <w:lang w:val="en-US" w:eastAsia="zh-CN"/>
        </w:rPr>
        <w:t>机制比例</w:t>
      </w:r>
      <w:r>
        <w:rPr>
          <w:rFonts w:hint="eastAsia" w:cs="方正仿宋_GBK"/>
          <w:kern w:val="2"/>
          <w:szCs w:val="32"/>
          <w:highlight w:val="none"/>
          <w:lang w:val="en-US" w:eastAsia="zh-CN"/>
        </w:rPr>
        <w:t>）</w:t>
      </w:r>
      <w:r>
        <w:rPr>
          <w:rFonts w:hint="eastAsia" w:ascii="Times New Roman" w:hAnsi="Times New Roman" w:eastAsia="仿宋" w:cs="Times New Roman"/>
          <w:color w:val="auto"/>
          <w:spacing w:val="0"/>
          <w:highlight w:val="none"/>
          <w:vertAlign w:val="baseline"/>
          <w:lang w:val="en-US" w:eastAsia="zh-CN"/>
        </w:rPr>
        <w:t>+</w:t>
      </w:r>
      <w:r>
        <w:rPr>
          <w:rFonts w:ascii="Times New Roman" w:hAnsi="Times New Roman" w:eastAsia="仿宋" w:cs="Times New Roman"/>
          <w:color w:val="auto"/>
          <w:highlight w:val="none"/>
        </w:rPr>
        <w:t>P</w:t>
      </w:r>
      <w:r>
        <w:rPr>
          <w:rFonts w:hint="eastAsia" w:ascii="Times New Roman" w:hAnsi="Times New Roman" w:cs="Times New Roman"/>
          <w:color w:val="auto"/>
          <w:spacing w:val="8"/>
          <w:highlight w:val="none"/>
          <w:vertAlign w:val="subscript"/>
          <w:lang w:val="en-US" w:eastAsia="zh-CN"/>
        </w:rPr>
        <w:t>虚拟电厂现货实时电价</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eastAsia="zh-CN"/>
        </w:rPr>
        <w:t>（</w:t>
      </w:r>
      <w:r>
        <w:rPr>
          <w:rFonts w:hint="eastAsia" w:ascii="Times New Roman" w:hAnsi="Times New Roman" w:eastAsia="仿宋" w:cs="Times New Roman"/>
          <w:color w:val="auto"/>
          <w:highlight w:val="none"/>
          <w:lang w:val="en-US" w:eastAsia="zh-CN"/>
        </w:rPr>
        <w:t>1-a</w:t>
      </w:r>
      <w:r>
        <w:rPr>
          <w:rFonts w:hint="eastAsia" w:ascii="Times New Roman" w:hAnsi="Times New Roman" w:eastAsia="仿宋" w:cs="Times New Roman"/>
          <w:color w:val="auto"/>
          <w:highlight w:val="none"/>
          <w:vertAlign w:val="subscript"/>
          <w:lang w:val="en-US" w:eastAsia="zh-CN"/>
        </w:rPr>
        <w:t>1</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eastAsia="zh-CN"/>
        </w:rPr>
        <w:t>（</w:t>
      </w:r>
      <w:r>
        <w:rPr>
          <w:rFonts w:hint="eastAsia" w:ascii="Times New Roman" w:hAnsi="Times New Roman" w:eastAsia="仿宋" w:cs="Times New Roman"/>
          <w:color w:val="auto"/>
          <w:highlight w:val="none"/>
          <w:lang w:val="en-US" w:eastAsia="zh-CN"/>
        </w:rPr>
        <w:t>1-J</w:t>
      </w:r>
      <w:r>
        <w:rPr>
          <w:rFonts w:hint="eastAsia" w:ascii="Times New Roman" w:hAnsi="Times New Roman" w:cs="Times New Roman"/>
          <w:color w:val="auto"/>
          <w:spacing w:val="8"/>
          <w:highlight w:val="none"/>
          <w:vertAlign w:val="subscript"/>
          <w:lang w:val="en-US" w:eastAsia="zh-CN"/>
        </w:rPr>
        <w:t>机制比例</w:t>
      </w:r>
      <w:r>
        <w:rPr>
          <w:rFonts w:hint="eastAsia" w:ascii="Times New Roman" w:hAnsi="Times New Roman" w:eastAsia="仿宋" w:cs="Times New Roman"/>
          <w:color w:val="auto"/>
          <w:highlight w:val="none"/>
          <w:lang w:eastAsia="zh-CN"/>
        </w:rPr>
        <w:t>））</w:t>
      </w:r>
      <w:r>
        <w:rPr>
          <w:rFonts w:hint="eastAsia" w:ascii="Times New Roman" w:hAnsi="Times New Roman" w:eastAsia="仿宋" w:cs="Times New Roman"/>
          <w:color w:val="auto"/>
          <w:highlight w:val="none"/>
          <w:lang w:val="en-US" w:eastAsia="zh-CN"/>
        </w:rPr>
        <w:t>-</w:t>
      </w:r>
      <w:r>
        <w:rPr>
          <w:rFonts w:hint="default" w:ascii="Times New Roman" w:hAnsi="Times New Roman" w:eastAsia="仿宋_GB2312" w:cs="Times New Roman"/>
          <w:color w:val="000000"/>
          <w:spacing w:val="8"/>
          <w:kern w:val="2"/>
          <w:sz w:val="32"/>
          <w:szCs w:val="32"/>
          <w:highlight w:val="none"/>
          <w:vertAlign w:val="baseline"/>
          <w:lang w:val="en-US" w:eastAsia="zh-CN"/>
        </w:rPr>
        <w:t>P</w:t>
      </w:r>
      <w:r>
        <w:rPr>
          <w:rFonts w:hint="eastAsia" w:ascii="Times New Roman" w:hAnsi="Times New Roman" w:cs="Times New Roman"/>
          <w:color w:val="auto"/>
          <w:spacing w:val="8"/>
          <w:kern w:val="0"/>
          <w:sz w:val="32"/>
          <w:szCs w:val="21"/>
          <w:highlight w:val="none"/>
          <w:vertAlign w:val="subscript"/>
          <w:lang w:val="en-US" w:eastAsia="zh-CN"/>
        </w:rPr>
        <w:t>服务</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eastAsia="zh-CN"/>
        </w:rPr>
        <w:t>（</w:t>
      </w:r>
      <w:r>
        <w:rPr>
          <w:rFonts w:hint="eastAsia" w:ascii="Times New Roman" w:hAnsi="Times New Roman" w:eastAsia="仿宋" w:cs="Times New Roman"/>
          <w:color w:val="auto"/>
          <w:highlight w:val="none"/>
          <w:lang w:val="en-US" w:eastAsia="zh-CN"/>
        </w:rPr>
        <w:t>1-J</w:t>
      </w:r>
      <w:r>
        <w:rPr>
          <w:rFonts w:hint="eastAsia" w:ascii="Times New Roman" w:hAnsi="Times New Roman" w:cs="Times New Roman"/>
          <w:color w:val="auto"/>
          <w:spacing w:val="8"/>
          <w:highlight w:val="none"/>
          <w:vertAlign w:val="subscript"/>
          <w:lang w:val="en-US" w:eastAsia="zh-CN"/>
        </w:rPr>
        <w:t>机制比例</w:t>
      </w:r>
      <w:r>
        <w:rPr>
          <w:rFonts w:hint="eastAsia" w:ascii="Times New Roman" w:hAnsi="Times New Roman" w:eastAsia="仿宋" w:cs="Times New Roman"/>
          <w:color w:val="auto"/>
          <w:highlight w:val="none"/>
          <w:lang w:eastAsia="zh-CN"/>
        </w:rPr>
        <w:t>）</w:t>
      </w:r>
    </w:p>
    <w:p>
      <w:pPr>
        <w:pStyle w:val="8"/>
        <w:spacing w:beforeLines="0" w:after="0" w:afterLines="0" w:line="580" w:lineRule="exact"/>
        <w:ind w:firstLine="672" w:firstLineChars="200"/>
        <w:rPr>
          <w:rFonts w:hint="default" w:ascii="Times New Roman" w:hAnsi="Times New Roman" w:cs="Times New Roman"/>
          <w:color w:val="auto"/>
          <w:highlight w:val="none"/>
          <w:lang w:val="en-US"/>
        </w:rPr>
      </w:pPr>
      <w:r>
        <w:rPr>
          <w:rFonts w:ascii="Times New Roman" w:hAnsi="Times New Roman" w:cs="Times New Roman"/>
          <w:color w:val="auto"/>
          <w:spacing w:val="8"/>
          <w:highlight w:val="none"/>
        </w:rPr>
        <w:t>P</w:t>
      </w:r>
      <w:r>
        <w:rPr>
          <w:rFonts w:hint="eastAsia" w:ascii="Times New Roman" w:hAnsi="Times New Roman" w:cs="Times New Roman"/>
          <w:color w:val="auto"/>
          <w:spacing w:val="8"/>
          <w:highlight w:val="none"/>
          <w:vertAlign w:val="subscript"/>
          <w:lang w:val="en-US" w:eastAsia="zh-CN"/>
        </w:rPr>
        <w:t>服务费套餐</w:t>
      </w:r>
      <w:r>
        <w:rPr>
          <w:rFonts w:hint="eastAsia" w:ascii="Times New Roman" w:hAnsi="Times New Roman" w:eastAsia="仿宋" w:cs="Times New Roman"/>
          <w:color w:val="auto"/>
          <w:spacing w:val="0"/>
          <w:highlight w:val="none"/>
          <w:vertAlign w:val="baseline"/>
          <w:lang w:val="en-US" w:eastAsia="zh-CN"/>
        </w:rPr>
        <w:t>为选择服务费套餐的聚合资源主体价格；</w:t>
      </w:r>
    </w:p>
    <w:p>
      <w:pPr>
        <w:pStyle w:val="8"/>
        <w:spacing w:beforeLines="0" w:after="0" w:afterLines="0" w:line="580" w:lineRule="exact"/>
        <w:ind w:firstLine="672" w:firstLineChars="200"/>
        <w:rPr>
          <w:rFonts w:hint="eastAsia" w:ascii="Times New Roman" w:hAnsi="Times New Roman" w:eastAsia="仿宋" w:cs="Times New Roman"/>
          <w:color w:val="auto"/>
          <w:spacing w:val="0"/>
          <w:kern w:val="0"/>
          <w:sz w:val="32"/>
          <w:szCs w:val="21"/>
          <w:highlight w:val="none"/>
          <w:vertAlign w:val="baseline"/>
          <w:lang w:val="en-US" w:eastAsia="zh-CN"/>
        </w:rPr>
      </w:pPr>
      <w:r>
        <w:rPr>
          <w:rFonts w:hint="default" w:ascii="Times New Roman" w:hAnsi="Times New Roman" w:eastAsia="仿宋_GB2312" w:cs="Times New Roman"/>
          <w:spacing w:val="8"/>
          <w:kern w:val="2"/>
          <w:sz w:val="32"/>
          <w:szCs w:val="32"/>
          <w:highlight w:val="none"/>
        </w:rPr>
        <w:t>P</w:t>
      </w:r>
      <w:r>
        <w:rPr>
          <w:rFonts w:hint="eastAsia" w:ascii="Times New Roman" w:hAnsi="Times New Roman" w:eastAsia="方正仿宋_GBK" w:cs="Times New Roman"/>
          <w:color w:val="auto"/>
          <w:spacing w:val="8"/>
          <w:kern w:val="0"/>
          <w:sz w:val="32"/>
          <w:szCs w:val="21"/>
          <w:highlight w:val="none"/>
          <w:vertAlign w:val="subscript"/>
          <w:lang w:val="en-US" w:eastAsia="zh-CN"/>
        </w:rPr>
        <w:t>虚拟电厂中长期</w:t>
      </w:r>
      <w:r>
        <w:rPr>
          <w:rFonts w:hint="eastAsia" w:ascii="Times New Roman" w:hAnsi="Times New Roman" w:cs="Times New Roman"/>
          <w:color w:val="auto"/>
          <w:spacing w:val="8"/>
          <w:kern w:val="0"/>
          <w:sz w:val="32"/>
          <w:szCs w:val="21"/>
          <w:highlight w:val="none"/>
          <w:vertAlign w:val="subscript"/>
          <w:lang w:val="en-US" w:eastAsia="zh-CN"/>
        </w:rPr>
        <w:t>综合电价</w:t>
      </w:r>
      <w:r>
        <w:rPr>
          <w:rFonts w:hint="eastAsia" w:ascii="Times New Roman" w:hAnsi="Times New Roman" w:eastAsia="仿宋" w:cs="Times New Roman"/>
          <w:color w:val="auto"/>
          <w:spacing w:val="0"/>
          <w:kern w:val="0"/>
          <w:sz w:val="32"/>
          <w:szCs w:val="21"/>
          <w:highlight w:val="none"/>
          <w:vertAlign w:val="baseline"/>
          <w:lang w:val="en-US" w:eastAsia="zh-CN"/>
        </w:rPr>
        <w:t>为当月该虚拟电厂聚合单元中长期合约加权综合价；</w:t>
      </w:r>
    </w:p>
    <w:p>
      <w:pPr>
        <w:pStyle w:val="8"/>
        <w:spacing w:beforeLines="0" w:after="0" w:afterLines="0" w:line="580" w:lineRule="exact"/>
        <w:ind w:firstLine="672" w:firstLineChars="200"/>
        <w:rPr>
          <w:rFonts w:hint="eastAsia" w:ascii="Times New Roman" w:hAnsi="Times New Roman" w:eastAsia="方正仿宋_GBK" w:cs="Times New Roman"/>
          <w:color w:val="auto"/>
          <w:spacing w:val="0"/>
          <w:kern w:val="0"/>
          <w:sz w:val="32"/>
          <w:szCs w:val="21"/>
          <w:highlight w:val="none"/>
          <w:vertAlign w:val="baseline"/>
          <w:lang w:val="en-US" w:eastAsia="zh-CN"/>
        </w:rPr>
      </w:pPr>
      <w:r>
        <w:rPr>
          <w:rFonts w:hint="default" w:ascii="Times New Roman" w:hAnsi="Times New Roman" w:eastAsia="仿宋_GB2312" w:cs="Times New Roman"/>
          <w:color w:val="000000"/>
          <w:spacing w:val="8"/>
          <w:kern w:val="2"/>
          <w:sz w:val="32"/>
          <w:szCs w:val="32"/>
          <w:highlight w:val="none"/>
          <w:vertAlign w:val="baseline"/>
          <w:lang w:val="en-US" w:eastAsia="zh-CN"/>
        </w:rPr>
        <w:t>P</w:t>
      </w:r>
      <w:r>
        <w:rPr>
          <w:rFonts w:hint="eastAsia" w:ascii="Times New Roman" w:hAnsi="Times New Roman" w:cs="Times New Roman"/>
          <w:color w:val="auto"/>
          <w:spacing w:val="8"/>
          <w:kern w:val="0"/>
          <w:sz w:val="32"/>
          <w:szCs w:val="21"/>
          <w:highlight w:val="none"/>
          <w:vertAlign w:val="subscript"/>
          <w:lang w:val="en-US" w:eastAsia="zh-CN"/>
        </w:rPr>
        <w:t>服务</w:t>
      </w:r>
      <w:r>
        <w:rPr>
          <w:rFonts w:hint="eastAsia" w:ascii="Times New Roman" w:hAnsi="Times New Roman" w:cs="Times New Roman"/>
          <w:color w:val="auto"/>
          <w:spacing w:val="8"/>
          <w:kern w:val="0"/>
          <w:sz w:val="32"/>
          <w:szCs w:val="21"/>
          <w:highlight w:val="none"/>
          <w:vertAlign w:val="baseline"/>
          <w:lang w:val="en-US" w:eastAsia="zh-CN"/>
        </w:rPr>
        <w:t>为</w:t>
      </w:r>
      <w:r>
        <w:rPr>
          <w:rFonts w:hint="eastAsia" w:ascii="Times New Roman" w:hAnsi="Times New Roman" w:cs="Times New Roman"/>
          <w:color w:val="auto"/>
          <w:spacing w:val="8"/>
          <w:highlight w:val="none"/>
          <w:lang w:val="en-US" w:eastAsia="zh-CN"/>
        </w:rPr>
        <w:t>聚合资源主体</w:t>
      </w:r>
      <w:r>
        <w:rPr>
          <w:rFonts w:hint="default" w:ascii="Times New Roman" w:hAnsi="Times New Roman" w:cs="Times New Roman"/>
          <w:color w:val="auto"/>
          <w:spacing w:val="8"/>
          <w:highlight w:val="none"/>
          <w:lang w:val="en-US"/>
        </w:rPr>
        <w:t>与</w:t>
      </w:r>
      <w:r>
        <w:rPr>
          <w:rFonts w:hint="eastAsia" w:ascii="Times New Roman" w:hAnsi="Times New Roman" w:cs="Times New Roman"/>
          <w:color w:val="auto"/>
          <w:spacing w:val="8"/>
          <w:highlight w:val="none"/>
          <w:lang w:val="en-US" w:eastAsia="zh-CN"/>
        </w:rPr>
        <w:t>虚拟电厂</w:t>
      </w:r>
      <w:r>
        <w:rPr>
          <w:rFonts w:hint="default" w:ascii="Times New Roman" w:hAnsi="Times New Roman" w:cs="Times New Roman"/>
          <w:color w:val="auto"/>
          <w:spacing w:val="8"/>
          <w:highlight w:val="none"/>
          <w:lang w:val="en-US"/>
        </w:rPr>
        <w:t>约定</w:t>
      </w:r>
      <w:r>
        <w:rPr>
          <w:rFonts w:hint="default" w:ascii="Times New Roman" w:hAnsi="Times New Roman" w:cs="Times New Roman"/>
          <w:color w:val="auto"/>
          <w:spacing w:val="8"/>
          <w:highlight w:val="none"/>
        </w:rPr>
        <w:t>的</w:t>
      </w:r>
      <w:r>
        <w:rPr>
          <w:rFonts w:hint="default" w:ascii="Times New Roman" w:hAnsi="Times New Roman" w:cs="Times New Roman"/>
          <w:color w:val="auto"/>
          <w:spacing w:val="8"/>
          <w:highlight w:val="none"/>
          <w:lang w:val="en-US"/>
        </w:rPr>
        <w:t>代理服务价格</w:t>
      </w:r>
      <w:r>
        <w:rPr>
          <w:rFonts w:hint="eastAsia" w:ascii="Times New Roman" w:hAnsi="Times New Roman" w:cs="Times New Roman"/>
          <w:color w:val="auto"/>
          <w:spacing w:val="8"/>
          <w:highlight w:val="none"/>
          <w:lang w:val="en-US" w:eastAsia="zh-CN"/>
        </w:rPr>
        <w:t>，市场初期，代理服务价格不</w:t>
      </w:r>
      <w:r>
        <w:rPr>
          <w:rFonts w:hint="default" w:ascii="方正仿宋_GBK" w:hAnsi="方正仿宋_GBK" w:cs="方正仿宋_GBK"/>
          <w:color w:val="000000"/>
          <w:spacing w:val="0"/>
          <w:kern w:val="2"/>
          <w:szCs w:val="32"/>
          <w:highlight w:val="none"/>
          <w:lang w:val="en-US" w:eastAsia="zh-CN"/>
        </w:rPr>
        <w:t>超过20元/兆瓦时；</w:t>
      </w:r>
    </w:p>
    <w:p>
      <w:pPr>
        <w:pStyle w:val="8"/>
        <w:spacing w:beforeLines="0" w:afterLines="0" w:line="580" w:lineRule="exact"/>
        <w:ind w:firstLine="672" w:firstLineChars="200"/>
        <w:rPr>
          <w:rFonts w:hint="eastAsia" w:ascii="Times New Roman" w:hAnsi="Times New Roman" w:cs="Times New Roman"/>
          <w:color w:val="auto"/>
          <w:spacing w:val="8"/>
          <w:kern w:val="0"/>
          <w:sz w:val="32"/>
          <w:szCs w:val="21"/>
          <w:highlight w:val="none"/>
          <w:vertAlign w:val="subscript"/>
          <w:lang w:val="en-US" w:eastAsia="zh-CN"/>
        </w:rPr>
      </w:pPr>
      <w:r>
        <w:rPr>
          <w:rFonts w:hint="eastAsia" w:ascii="Times New Roman" w:hAnsi="Times New Roman" w:cs="Times New Roman"/>
          <w:color w:val="auto"/>
          <w:spacing w:val="8"/>
          <w:kern w:val="0"/>
          <w:sz w:val="32"/>
          <w:szCs w:val="21"/>
          <w:highlight w:val="none"/>
          <w:lang w:val="en-US" w:eastAsia="zh-CN"/>
        </w:rPr>
        <w:t>a</w:t>
      </w:r>
      <w:r>
        <w:rPr>
          <w:rFonts w:hint="eastAsia" w:ascii="Times New Roman" w:hAnsi="Times New Roman" w:cs="Times New Roman"/>
          <w:color w:val="auto"/>
          <w:spacing w:val="8"/>
          <w:kern w:val="0"/>
          <w:sz w:val="32"/>
          <w:szCs w:val="21"/>
          <w:highlight w:val="none"/>
          <w:vertAlign w:val="subscript"/>
          <w:lang w:val="en-US" w:eastAsia="zh-CN"/>
        </w:rPr>
        <w:t>1</w:t>
      </w:r>
      <w:r>
        <w:rPr>
          <w:rFonts w:hint="eastAsia" w:ascii="Times New Roman" w:hAnsi="Times New Roman" w:cs="Times New Roman"/>
          <w:color w:val="auto"/>
          <w:spacing w:val="8"/>
          <w:kern w:val="0"/>
          <w:sz w:val="32"/>
          <w:szCs w:val="21"/>
          <w:highlight w:val="none"/>
          <w:lang w:val="en-US" w:eastAsia="zh-CN"/>
        </w:rPr>
        <w:t>=Q</w:t>
      </w:r>
      <w:r>
        <w:rPr>
          <w:rFonts w:hint="eastAsia" w:ascii="Times New Roman" w:hAnsi="Times New Roman" w:cs="Times New Roman"/>
          <w:color w:val="auto"/>
          <w:spacing w:val="8"/>
          <w:kern w:val="0"/>
          <w:sz w:val="32"/>
          <w:szCs w:val="21"/>
          <w:highlight w:val="none"/>
          <w:vertAlign w:val="subscript"/>
          <w:lang w:val="en-US" w:eastAsia="zh-CN"/>
        </w:rPr>
        <w:t>虚拟电厂中长期合约</w:t>
      </w:r>
      <w:r>
        <w:rPr>
          <w:rFonts w:hint="eastAsia" w:ascii="Times New Roman" w:hAnsi="Times New Roman" w:cs="Times New Roman"/>
          <w:color w:val="auto"/>
          <w:spacing w:val="8"/>
          <w:kern w:val="0"/>
          <w:sz w:val="32"/>
          <w:szCs w:val="21"/>
          <w:highlight w:val="none"/>
          <w:lang w:val="en-US" w:eastAsia="zh-CN"/>
        </w:rPr>
        <w:t>/Q</w:t>
      </w:r>
      <w:r>
        <w:rPr>
          <w:rFonts w:hint="eastAsia" w:ascii="Times New Roman" w:hAnsi="Times New Roman" w:cs="Times New Roman"/>
          <w:color w:val="auto"/>
          <w:spacing w:val="8"/>
          <w:kern w:val="0"/>
          <w:sz w:val="32"/>
          <w:szCs w:val="21"/>
          <w:highlight w:val="none"/>
          <w:vertAlign w:val="subscript"/>
          <w:lang w:val="en-US" w:eastAsia="zh-CN"/>
        </w:rPr>
        <w:t>非机制上网电量</w:t>
      </w:r>
    </w:p>
    <w:p>
      <w:pPr>
        <w:pStyle w:val="8"/>
        <w:spacing w:beforeLines="0" w:afterLines="0" w:line="580" w:lineRule="exact"/>
        <w:ind w:firstLine="672" w:firstLineChars="200"/>
        <w:rPr>
          <w:rFonts w:hint="default" w:ascii="Times New Roman" w:hAnsi="Times New Roman" w:cs="Times New Roman"/>
          <w:color w:val="auto"/>
          <w:spacing w:val="8"/>
          <w:kern w:val="0"/>
          <w:sz w:val="32"/>
          <w:szCs w:val="21"/>
          <w:highlight w:val="none"/>
          <w:vertAlign w:val="subscript"/>
          <w:lang w:val="en-US" w:eastAsia="zh-CN"/>
        </w:rPr>
      </w:pPr>
      <w:r>
        <w:rPr>
          <w:rFonts w:hint="eastAsia" w:ascii="Times New Roman" w:hAnsi="Times New Roman" w:cs="Times New Roman"/>
          <w:color w:val="auto"/>
          <w:spacing w:val="8"/>
          <w:kern w:val="0"/>
          <w:sz w:val="32"/>
          <w:szCs w:val="21"/>
          <w:highlight w:val="none"/>
          <w:lang w:val="en-US" w:eastAsia="zh-CN"/>
        </w:rPr>
        <w:t>a</w:t>
      </w:r>
      <w:r>
        <w:rPr>
          <w:rFonts w:hint="eastAsia" w:ascii="Times New Roman" w:hAnsi="Times New Roman" w:cs="Times New Roman"/>
          <w:color w:val="auto"/>
          <w:spacing w:val="8"/>
          <w:kern w:val="0"/>
          <w:sz w:val="32"/>
          <w:szCs w:val="21"/>
          <w:highlight w:val="none"/>
          <w:vertAlign w:val="subscript"/>
          <w:lang w:val="en-US" w:eastAsia="zh-CN"/>
        </w:rPr>
        <w:t>1</w:t>
      </w:r>
      <w:r>
        <w:rPr>
          <w:rFonts w:hint="eastAsia" w:ascii="Times New Roman" w:hAnsi="Times New Roman" w:eastAsia="仿宋" w:cs="Times New Roman"/>
          <w:color w:val="auto"/>
          <w:spacing w:val="0"/>
          <w:kern w:val="0"/>
          <w:sz w:val="32"/>
          <w:szCs w:val="21"/>
          <w:highlight w:val="none"/>
          <w:vertAlign w:val="baseline"/>
          <w:lang w:val="en-US" w:eastAsia="zh-CN"/>
        </w:rPr>
        <w:t>为该虚拟电厂聚合单元非机制电量合约覆盖率；</w:t>
      </w:r>
    </w:p>
    <w:p>
      <w:pPr>
        <w:pStyle w:val="9"/>
        <w:spacing w:line="580" w:lineRule="exact"/>
        <w:ind w:firstLine="672" w:firstLineChars="200"/>
        <w:jc w:val="left"/>
        <w:rPr>
          <w:rFonts w:hint="eastAsia" w:ascii="Times New Roman" w:hAnsi="Times New Roman" w:cs="Times New Roman"/>
          <w:color w:val="auto"/>
          <w:spacing w:val="8"/>
          <w:kern w:val="0"/>
          <w:sz w:val="32"/>
          <w:szCs w:val="21"/>
          <w:highlight w:val="none"/>
          <w:lang w:val="en-US" w:eastAsia="zh-CN"/>
        </w:rPr>
      </w:pPr>
      <w:r>
        <w:rPr>
          <w:rFonts w:hint="eastAsia" w:ascii="Times New Roman" w:hAnsi="Times New Roman" w:cs="Times New Roman"/>
          <w:color w:val="auto"/>
          <w:spacing w:val="8"/>
          <w:kern w:val="0"/>
          <w:sz w:val="32"/>
          <w:szCs w:val="21"/>
          <w:highlight w:val="none"/>
          <w:lang w:val="en-US" w:eastAsia="zh-CN"/>
        </w:rPr>
        <w:t>Q</w:t>
      </w:r>
      <w:r>
        <w:rPr>
          <w:rFonts w:hint="eastAsia" w:ascii="Times New Roman" w:hAnsi="Times New Roman" w:eastAsia="方正仿宋_GBK" w:cs="Times New Roman"/>
          <w:color w:val="auto"/>
          <w:spacing w:val="8"/>
          <w:kern w:val="0"/>
          <w:sz w:val="32"/>
          <w:szCs w:val="21"/>
          <w:highlight w:val="none"/>
          <w:vertAlign w:val="subscript"/>
          <w:lang w:val="en-US" w:eastAsia="zh-CN"/>
        </w:rPr>
        <w:t>虚拟电厂中长期合约</w:t>
      </w:r>
      <w:r>
        <w:rPr>
          <w:rFonts w:hint="eastAsia" w:ascii="Times New Roman" w:hAnsi="Times New Roman" w:eastAsia="仿宋" w:cs="Times New Roman"/>
          <w:color w:val="auto"/>
          <w:spacing w:val="0"/>
          <w:kern w:val="0"/>
          <w:sz w:val="32"/>
          <w:szCs w:val="21"/>
          <w:highlight w:val="none"/>
          <w:vertAlign w:val="baseline"/>
          <w:lang w:val="en-US" w:eastAsia="zh-CN"/>
        </w:rPr>
        <w:t>为</w:t>
      </w:r>
      <w:r>
        <w:rPr>
          <w:rFonts w:hint="eastAsia" w:ascii="Times New Roman" w:hAnsi="Times New Roman" w:eastAsia="仿宋"/>
          <w:color w:val="auto"/>
          <w:sz w:val="32"/>
          <w:highlight w:val="none"/>
          <w:lang w:val="en-US" w:eastAsia="zh-CN"/>
        </w:rPr>
        <w:t>当月该虚拟电厂聚合单元中长期合约电量</w:t>
      </w:r>
      <w:r>
        <w:rPr>
          <w:rFonts w:hint="eastAsia" w:ascii="Times New Roman" w:hAnsi="Times New Roman" w:eastAsia="仿宋" w:cs="Times New Roman"/>
          <w:color w:val="auto"/>
          <w:spacing w:val="0"/>
          <w:kern w:val="0"/>
          <w:sz w:val="32"/>
          <w:szCs w:val="21"/>
          <w:highlight w:val="none"/>
          <w:vertAlign w:val="baseline"/>
          <w:lang w:val="en-US" w:eastAsia="zh-CN"/>
        </w:rPr>
        <w:t>；</w:t>
      </w:r>
    </w:p>
    <w:p>
      <w:pPr>
        <w:pStyle w:val="9"/>
        <w:spacing w:line="580" w:lineRule="exact"/>
        <w:ind w:firstLine="672" w:firstLineChars="200"/>
        <w:jc w:val="left"/>
        <w:rPr>
          <w:rFonts w:hint="eastAsia" w:ascii="Times New Roman" w:hAnsi="Times New Roman" w:eastAsia="仿宋"/>
          <w:color w:val="auto"/>
          <w:sz w:val="32"/>
          <w:highlight w:val="none"/>
          <w:lang w:val="en-US" w:eastAsia="zh-CN"/>
        </w:rPr>
      </w:pPr>
      <w:r>
        <w:rPr>
          <w:rFonts w:hint="eastAsia" w:ascii="Times New Roman" w:hAnsi="Times New Roman" w:cs="Times New Roman"/>
          <w:color w:val="auto"/>
          <w:spacing w:val="8"/>
          <w:kern w:val="0"/>
          <w:sz w:val="32"/>
          <w:szCs w:val="21"/>
          <w:highlight w:val="none"/>
          <w:lang w:val="en-US" w:eastAsia="zh-CN"/>
        </w:rPr>
        <w:t>Q</w:t>
      </w:r>
      <w:r>
        <w:rPr>
          <w:rFonts w:hint="eastAsia" w:ascii="Times New Roman" w:hAnsi="Times New Roman" w:eastAsia="方正仿宋_GBK" w:cs="Times New Roman"/>
          <w:color w:val="auto"/>
          <w:spacing w:val="8"/>
          <w:kern w:val="0"/>
          <w:sz w:val="32"/>
          <w:szCs w:val="21"/>
          <w:highlight w:val="none"/>
          <w:vertAlign w:val="subscript"/>
          <w:lang w:val="en-US" w:eastAsia="zh-CN"/>
        </w:rPr>
        <w:t>非机制上网电量</w:t>
      </w:r>
      <w:r>
        <w:rPr>
          <w:rFonts w:hint="eastAsia" w:ascii="Times New Roman" w:hAnsi="Times New Roman" w:eastAsia="仿宋"/>
          <w:color w:val="auto"/>
          <w:sz w:val="32"/>
          <w:highlight w:val="none"/>
          <w:lang w:val="en-US" w:eastAsia="zh-CN"/>
        </w:rPr>
        <w:t>为当月该虚拟电厂聚合单元所有聚合资源主体非机制上网电量</w:t>
      </w:r>
      <w:r>
        <w:rPr>
          <w:rFonts w:hint="eastAsia" w:ascii="Times New Roman" w:hAnsi="Times New Roman" w:eastAsia="仿宋" w:cs="Times New Roman"/>
          <w:color w:val="auto"/>
          <w:spacing w:val="0"/>
          <w:kern w:val="0"/>
          <w:sz w:val="32"/>
          <w:szCs w:val="21"/>
          <w:highlight w:val="none"/>
          <w:vertAlign w:val="baseline"/>
          <w:lang w:val="en-US" w:eastAsia="zh-CN"/>
        </w:rPr>
        <w:t>；</w:t>
      </w:r>
    </w:p>
    <w:p>
      <w:pPr>
        <w:pStyle w:val="8"/>
        <w:spacing w:beforeLines="0" w:afterLines="0" w:line="580" w:lineRule="exact"/>
        <w:ind w:firstLine="672" w:firstLineChars="200"/>
        <w:rPr>
          <w:rFonts w:hint="eastAsia" w:ascii="Times New Roman" w:hAnsi="Times New Roman" w:eastAsia="方正仿宋_GBK" w:cs="Times New Roman"/>
          <w:color w:val="auto"/>
          <w:spacing w:val="8"/>
          <w:kern w:val="0"/>
          <w:sz w:val="32"/>
          <w:szCs w:val="21"/>
          <w:highlight w:val="none"/>
          <w:lang w:val="en-US" w:eastAsia="zh-CN"/>
        </w:rPr>
      </w:pPr>
      <w:r>
        <w:rPr>
          <w:rFonts w:hint="eastAsia" w:ascii="Times New Roman" w:hAnsi="Times New Roman" w:eastAsia="方正仿宋_GBK" w:cs="Times New Roman"/>
          <w:color w:val="auto"/>
          <w:spacing w:val="8"/>
          <w:kern w:val="0"/>
          <w:sz w:val="32"/>
          <w:szCs w:val="21"/>
          <w:highlight w:val="none"/>
          <w:lang w:val="en-US" w:eastAsia="zh-CN"/>
        </w:rPr>
        <w:t>J</w:t>
      </w:r>
      <w:r>
        <w:rPr>
          <w:rFonts w:hint="eastAsia" w:ascii="Times New Roman" w:hAnsi="Times New Roman" w:cs="Times New Roman"/>
          <w:color w:val="auto"/>
          <w:spacing w:val="8"/>
          <w:kern w:val="0"/>
          <w:sz w:val="32"/>
          <w:szCs w:val="21"/>
          <w:highlight w:val="none"/>
          <w:vertAlign w:val="subscript"/>
          <w:lang w:val="en-US" w:eastAsia="zh-CN"/>
        </w:rPr>
        <w:t>机制比例</w:t>
      </w:r>
      <w:r>
        <w:rPr>
          <w:rFonts w:hint="eastAsia" w:ascii="Times New Roman" w:hAnsi="Times New Roman" w:eastAsia="方正仿宋_GBK" w:cs="Times New Roman"/>
          <w:color w:val="auto"/>
          <w:spacing w:val="8"/>
          <w:kern w:val="0"/>
          <w:sz w:val="32"/>
          <w:szCs w:val="21"/>
          <w:highlight w:val="none"/>
          <w:lang w:val="en-US" w:eastAsia="zh-CN"/>
        </w:rPr>
        <w:t>为当月该</w:t>
      </w:r>
      <w:r>
        <w:rPr>
          <w:rFonts w:hint="eastAsia" w:ascii="Times New Roman" w:hAnsi="Times New Roman" w:cs="Times New Roman"/>
          <w:color w:val="auto"/>
          <w:spacing w:val="8"/>
          <w:kern w:val="0"/>
          <w:sz w:val="32"/>
          <w:szCs w:val="21"/>
          <w:highlight w:val="none"/>
          <w:lang w:val="en-US" w:eastAsia="zh-CN"/>
        </w:rPr>
        <w:t>聚合资源主体</w:t>
      </w:r>
      <w:r>
        <w:rPr>
          <w:rFonts w:hint="eastAsia" w:ascii="Times New Roman" w:hAnsi="Times New Roman" w:eastAsia="方正仿宋_GBK" w:cs="Times New Roman"/>
          <w:color w:val="auto"/>
          <w:spacing w:val="8"/>
          <w:kern w:val="0"/>
          <w:sz w:val="32"/>
          <w:szCs w:val="21"/>
          <w:highlight w:val="none"/>
          <w:lang w:val="en-US" w:eastAsia="zh-CN"/>
        </w:rPr>
        <w:t>机制电量比例</w:t>
      </w:r>
      <w:r>
        <w:rPr>
          <w:rFonts w:hint="eastAsia" w:ascii="Times New Roman" w:hAnsi="Times New Roman" w:cs="Times New Roman"/>
          <w:color w:val="auto"/>
          <w:spacing w:val="8"/>
          <w:kern w:val="0"/>
          <w:sz w:val="32"/>
          <w:szCs w:val="21"/>
          <w:highlight w:val="none"/>
          <w:lang w:val="en-US" w:eastAsia="zh-CN"/>
        </w:rPr>
        <w:t>；</w:t>
      </w:r>
    </w:p>
    <w:p>
      <w:pPr>
        <w:pStyle w:val="8"/>
        <w:spacing w:beforeLines="0" w:after="0" w:afterLines="0" w:line="580" w:lineRule="exact"/>
        <w:ind w:firstLine="640" w:firstLineChars="200"/>
        <w:rPr>
          <w:rFonts w:hint="eastAsia" w:ascii="Times New Roman" w:hAnsi="Times New Roman" w:cs="Times New Roman"/>
          <w:color w:val="auto"/>
          <w:spacing w:val="8"/>
          <w:highlight w:val="none"/>
          <w:vertAlign w:val="baseline"/>
          <w:lang w:val="en-US" w:eastAsia="zh-CN"/>
        </w:rPr>
      </w:pPr>
      <w:r>
        <w:rPr>
          <w:rFonts w:ascii="Times New Roman" w:hAnsi="Times New Roman" w:eastAsia="仿宋" w:cs="Times New Roman"/>
          <w:color w:val="auto"/>
          <w:highlight w:val="none"/>
        </w:rPr>
        <w:t>P</w:t>
      </w:r>
      <w:r>
        <w:rPr>
          <w:rFonts w:hint="eastAsia" w:ascii="Times New Roman" w:hAnsi="Times New Roman" w:cs="Times New Roman"/>
          <w:color w:val="auto"/>
          <w:spacing w:val="8"/>
          <w:highlight w:val="none"/>
          <w:vertAlign w:val="subscript"/>
          <w:lang w:val="en-US" w:eastAsia="zh-CN"/>
        </w:rPr>
        <w:t>虚拟电厂现货实时电价</w:t>
      </w:r>
      <w:r>
        <w:rPr>
          <w:rFonts w:hint="eastAsia" w:ascii="Times New Roman" w:hAnsi="Times New Roman" w:cs="Times New Roman"/>
          <w:color w:val="auto"/>
          <w:spacing w:val="8"/>
          <w:highlight w:val="none"/>
          <w:vertAlign w:val="baseline"/>
          <w:lang w:val="en-US" w:eastAsia="zh-CN"/>
        </w:rPr>
        <w:t>为当月该虚拟电厂聚合单元现货实时市场均价。</w:t>
      </w:r>
    </w:p>
    <w:p>
      <w:pPr>
        <w:pStyle w:val="8"/>
        <w:numPr>
          <w:ilvl w:val="0"/>
          <w:numId w:val="0"/>
        </w:numPr>
        <w:spacing w:afterLines="0" w:line="580" w:lineRule="exact"/>
        <w:ind w:firstLine="640" w:firstLineChars="200"/>
        <w:jc w:val="both"/>
        <w:rPr>
          <w:rFonts w:hint="eastAsia" w:ascii="方正仿宋_GBK" w:hAnsi="方正仿宋_GBK" w:eastAsia="方正仿宋_GBK" w:cs="方正仿宋_GBK"/>
          <w:color w:val="000000"/>
          <w:kern w:val="2"/>
          <w:sz w:val="32"/>
          <w:szCs w:val="32"/>
          <w:highlight w:val="none"/>
          <w:lang w:val="en-US" w:eastAsia="zh-CN" w:bidi="ar-SA"/>
        </w:rPr>
      </w:pPr>
      <w:r>
        <w:rPr>
          <w:rFonts w:hint="eastAsia" w:cs="方正仿宋_GBK"/>
          <w:color w:val="000000"/>
          <w:kern w:val="2"/>
          <w:sz w:val="32"/>
          <w:szCs w:val="32"/>
          <w:highlight w:val="none"/>
          <w:lang w:val="en-US" w:eastAsia="zh-CN" w:bidi="ar-SA"/>
        </w:rPr>
        <w:t>（2）联动价格套餐。计算公式如下：</w:t>
      </w:r>
    </w:p>
    <w:p>
      <w:pPr>
        <w:pStyle w:val="8"/>
        <w:spacing w:beforeLines="0" w:afterLines="0" w:line="580" w:lineRule="exact"/>
        <w:ind w:firstLine="640" w:firstLineChars="200"/>
        <w:jc w:val="both"/>
        <w:rPr>
          <w:rFonts w:hint="default" w:ascii="Times New Roman" w:hAnsi="Times New Roman" w:eastAsia="仿宋" w:cs="Times New Roman"/>
          <w:color w:val="auto"/>
          <w:highlight w:val="none"/>
          <w:vertAlign w:val="subscript"/>
        </w:rPr>
      </w:pPr>
      <w:r>
        <w:rPr>
          <w:rFonts w:ascii="Times New Roman" w:hAnsi="Times New Roman" w:cs="Times New Roman"/>
          <w:color w:val="auto"/>
          <w:highlight w:val="none"/>
        </w:rPr>
        <w:t>P</w:t>
      </w:r>
      <w:r>
        <w:rPr>
          <w:rFonts w:hint="eastAsia" w:ascii="Times New Roman" w:hAnsi="Times New Roman" w:cs="Times New Roman"/>
          <w:color w:val="auto"/>
          <w:highlight w:val="none"/>
          <w:vertAlign w:val="subscript"/>
          <w:lang w:val="en-US" w:eastAsia="zh-CN"/>
        </w:rPr>
        <w:t>联动价格套餐</w:t>
      </w:r>
      <w:r>
        <w:rPr>
          <w:rFonts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val="en-US" w:eastAsia="zh-CN"/>
        </w:rPr>
        <w:t>a</w:t>
      </w:r>
      <w:r>
        <w:rPr>
          <w:rFonts w:hint="eastAsia" w:ascii="Times New Roman" w:hAnsi="Times New Roman" w:eastAsia="仿宋" w:cs="Times New Roman"/>
          <w:color w:val="auto"/>
          <w:highlight w:val="none"/>
          <w:vertAlign w:val="subscript"/>
          <w:lang w:val="en-US" w:eastAsia="zh-CN"/>
        </w:rPr>
        <w:t>2</w:t>
      </w:r>
      <w:r>
        <w:rPr>
          <w:rFonts w:hint="default" w:ascii="Times New Roman" w:hAnsi="Times New Roman" w:eastAsia="仿宋" w:cs="Times New Roman"/>
          <w:color w:val="auto"/>
          <w:highlight w:val="none"/>
        </w:rPr>
        <w:t>×</w:t>
      </w:r>
      <w:r>
        <w:rPr>
          <w:rFonts w:ascii="Times New Roman" w:hAnsi="Times New Roman" w:eastAsia="仿宋" w:cs="Times New Roman"/>
          <w:color w:val="auto"/>
          <w:highlight w:val="none"/>
        </w:rPr>
        <w:t>P</w:t>
      </w:r>
      <w:r>
        <w:rPr>
          <w:rFonts w:hint="eastAsia" w:ascii="Times New Roman" w:hAnsi="Times New Roman" w:cs="Times New Roman"/>
          <w:color w:val="auto"/>
          <w:spacing w:val="8"/>
          <w:highlight w:val="none"/>
          <w:vertAlign w:val="subscript"/>
          <w:lang w:val="en-US" w:eastAsia="zh-CN"/>
        </w:rPr>
        <w:t>同类型电源中长期综合电价</w:t>
      </w:r>
      <w:r>
        <w:rPr>
          <w:rFonts w:hint="eastAsia" w:ascii="Times New Roman" w:hAnsi="Times New Roman" w:eastAsia="仿宋" w:cs="Times New Roman"/>
          <w:color w:val="auto"/>
          <w:highlight w:val="none"/>
          <w:lang w:val="en-US" w:eastAsia="zh-CN"/>
        </w:rPr>
        <w:t>+（1-a</w:t>
      </w:r>
      <w:r>
        <w:rPr>
          <w:rFonts w:hint="eastAsia" w:ascii="Times New Roman" w:hAnsi="Times New Roman" w:eastAsia="仿宋" w:cs="Times New Roman"/>
          <w:color w:val="auto"/>
          <w:highlight w:val="none"/>
          <w:vertAlign w:val="subscript"/>
          <w:lang w:val="en-US" w:eastAsia="zh-CN"/>
        </w:rPr>
        <w:t>2</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w:t>
      </w:r>
      <w:r>
        <w:rPr>
          <w:rFonts w:ascii="Times New Roman" w:hAnsi="Times New Roman" w:eastAsia="仿宋" w:cs="Times New Roman"/>
          <w:color w:val="auto"/>
          <w:highlight w:val="none"/>
        </w:rPr>
        <w:t>P</w:t>
      </w:r>
      <w:r>
        <w:rPr>
          <w:rFonts w:hint="eastAsia" w:ascii="Times New Roman" w:hAnsi="Times New Roman" w:cs="Times New Roman"/>
          <w:color w:val="auto"/>
          <w:spacing w:val="8"/>
          <w:highlight w:val="none"/>
          <w:vertAlign w:val="subscript"/>
          <w:lang w:val="en-US" w:eastAsia="zh-CN"/>
        </w:rPr>
        <w:t>同类型电源现货实时均价</w:t>
      </w:r>
    </w:p>
    <w:p>
      <w:pPr>
        <w:pStyle w:val="8"/>
        <w:spacing w:beforeLines="0" w:afterLines="0" w:line="580" w:lineRule="exact"/>
        <w:ind w:firstLine="672" w:firstLineChars="200"/>
        <w:jc w:val="both"/>
        <w:rPr>
          <w:rFonts w:hint="eastAsia" w:ascii="Times New Roman" w:hAnsi="Times New Roman" w:cs="Times New Roman"/>
          <w:color w:val="auto"/>
          <w:spacing w:val="8"/>
          <w:highlight w:val="none"/>
          <w:lang w:val="en-US" w:eastAsia="zh-CN"/>
        </w:rPr>
      </w:pPr>
      <w:r>
        <w:rPr>
          <w:rFonts w:hint="default" w:ascii="Times New Roman" w:hAnsi="Times New Roman" w:eastAsia="仿宋_GB2312" w:cs="Times New Roman"/>
          <w:spacing w:val="8"/>
          <w:kern w:val="2"/>
          <w:sz w:val="32"/>
          <w:szCs w:val="32"/>
          <w:highlight w:val="none"/>
        </w:rPr>
        <w:t>P</w:t>
      </w:r>
      <w:r>
        <w:rPr>
          <w:rFonts w:hint="eastAsia" w:ascii="Times New Roman" w:hAnsi="Times New Roman" w:eastAsia="仿宋" w:cs="Times New Roman"/>
          <w:color w:val="auto"/>
          <w:spacing w:val="0"/>
          <w:highlight w:val="none"/>
          <w:vertAlign w:val="subscript"/>
          <w:lang w:val="en-US" w:eastAsia="zh-CN"/>
        </w:rPr>
        <w:t>联动价格套餐</w:t>
      </w:r>
      <w:r>
        <w:rPr>
          <w:rFonts w:hint="eastAsia" w:ascii="Times New Roman" w:hAnsi="Times New Roman" w:eastAsia="仿宋" w:cs="Times New Roman"/>
          <w:color w:val="auto"/>
          <w:spacing w:val="0"/>
          <w:highlight w:val="none"/>
          <w:vertAlign w:val="baseline"/>
          <w:lang w:val="en-US" w:eastAsia="zh-CN"/>
        </w:rPr>
        <w:t>为选择联动价格套餐的聚合资源主体价格；</w:t>
      </w:r>
    </w:p>
    <w:p>
      <w:pPr>
        <w:pStyle w:val="8"/>
        <w:spacing w:beforeLines="0" w:afterLines="0" w:line="580" w:lineRule="exact"/>
        <w:ind w:firstLine="640" w:firstLineChars="200"/>
        <w:jc w:val="both"/>
        <w:rPr>
          <w:rFonts w:hint="default" w:cs="方正仿宋_GBK"/>
          <w:kern w:val="2"/>
          <w:szCs w:val="32"/>
          <w:lang w:val="en-US" w:eastAsia="zh-CN"/>
        </w:rPr>
      </w:pPr>
      <w:r>
        <w:rPr>
          <w:rFonts w:hint="eastAsia" w:ascii="Times New Roman" w:hAnsi="Times New Roman" w:eastAsia="仿宋" w:cs="Times New Roman"/>
          <w:color w:val="auto"/>
          <w:highlight w:val="none"/>
          <w:lang w:val="en-US" w:eastAsia="zh-CN"/>
        </w:rPr>
        <w:t>a</w:t>
      </w:r>
      <w:r>
        <w:rPr>
          <w:rFonts w:hint="eastAsia" w:ascii="Times New Roman" w:hAnsi="Times New Roman" w:eastAsia="仿宋" w:cs="Times New Roman"/>
          <w:color w:val="auto"/>
          <w:highlight w:val="none"/>
          <w:vertAlign w:val="subscript"/>
          <w:lang w:val="en-US" w:eastAsia="zh-CN"/>
        </w:rPr>
        <w:t>2</w:t>
      </w:r>
      <w:r>
        <w:rPr>
          <w:rFonts w:hint="eastAsia" w:cs="方正仿宋_GBK"/>
          <w:kern w:val="2"/>
          <w:szCs w:val="32"/>
          <w:highlight w:val="none"/>
          <w:lang w:val="en-US" w:eastAsia="zh-CN"/>
        </w:rPr>
        <w:t>为中长期价格系数，由双方协商确定，</w:t>
      </w:r>
      <w:r>
        <w:rPr>
          <w:rFonts w:hint="eastAsia" w:ascii="Times New Roman" w:hAnsi="Times New Roman" w:eastAsia="仿宋" w:cs="Times New Roman"/>
          <w:color w:val="auto"/>
          <w:highlight w:val="none"/>
          <w:lang w:val="en-US" w:eastAsia="zh-CN"/>
        </w:rPr>
        <w:t>60%</w:t>
      </w:r>
      <w:r>
        <w:rPr>
          <w:rFonts w:hint="default" w:ascii="Times New Roman" w:hAnsi="Times New Roman" w:eastAsia="仿宋" w:cs="Times New Roman"/>
          <w:color w:val="auto"/>
          <w:highlight w:val="none"/>
          <w:lang w:val="en-US" w:eastAsia="zh-CN"/>
        </w:rPr>
        <w:t>×</w:t>
      </w:r>
      <w:r>
        <w:rPr>
          <w:rFonts w:hint="eastAsia" w:cs="Times New Roman"/>
          <w:snapToGrid/>
          <w:color w:val="auto"/>
          <w:kern w:val="2"/>
          <w:szCs w:val="24"/>
          <w:highlight w:val="none"/>
          <w:lang w:val="en-US" w:eastAsia="zh-CN" w:bidi="ar-SA"/>
        </w:rPr>
        <w:t>（</w:t>
      </w:r>
      <w:r>
        <w:rPr>
          <w:rFonts w:hint="eastAsia" w:ascii="Times New Roman" w:hAnsi="Times New Roman" w:eastAsia="仿宋" w:cs="Times New Roman"/>
          <w:color w:val="auto"/>
          <w:spacing w:val="0"/>
          <w:highlight w:val="none"/>
          <w:vertAlign w:val="baseline"/>
          <w:lang w:val="en-US" w:eastAsia="zh-CN"/>
        </w:rPr>
        <w:t>1</w:t>
      </w:r>
      <w:r>
        <w:rPr>
          <w:rFonts w:hint="eastAsia" w:ascii="Times New Roman" w:hAnsi="Times New Roman" w:eastAsia="仿宋" w:cs="Times New Roman"/>
          <w:color w:val="auto"/>
          <w:highlight w:val="none"/>
          <w:lang w:val="en-US" w:eastAsia="zh-CN"/>
        </w:rPr>
        <w:t>-J</w:t>
      </w:r>
      <w:r>
        <w:rPr>
          <w:rFonts w:hint="eastAsia" w:ascii="Times New Roman" w:hAnsi="Times New Roman" w:cs="Times New Roman"/>
          <w:color w:val="auto"/>
          <w:spacing w:val="8"/>
          <w:highlight w:val="none"/>
          <w:vertAlign w:val="subscript"/>
          <w:lang w:val="en-US" w:eastAsia="zh-CN"/>
        </w:rPr>
        <w:t>机制比例</w:t>
      </w:r>
      <w:r>
        <w:rPr>
          <w:rFonts w:hint="eastAsia" w:ascii="Times New Roman" w:hAnsi="Times New Roman" w:eastAsia="仿宋" w:cs="Times New Roman"/>
          <w:color w:val="auto"/>
          <w:highlight w:val="none"/>
          <w:lang w:eastAsia="zh-CN"/>
        </w:rPr>
        <w:t>）</w:t>
      </w:r>
      <w:r>
        <w:rPr>
          <w:rFonts w:hint="eastAsia" w:ascii="Times New Roman" w:hAnsi="Times New Roman" w:eastAsia="仿宋" w:cs="Times New Roman"/>
          <w:color w:val="auto"/>
          <w:spacing w:val="0"/>
          <w:highlight w:val="none"/>
          <w:vertAlign w:val="baseline"/>
          <w:lang w:val="en-US" w:eastAsia="zh-CN"/>
        </w:rPr>
        <w:t>≦</w:t>
      </w:r>
      <w:r>
        <w:rPr>
          <w:rFonts w:hint="eastAsia" w:ascii="Times New Roman" w:hAnsi="Times New Roman" w:eastAsia="仿宋" w:cs="Times New Roman"/>
          <w:color w:val="auto"/>
          <w:highlight w:val="none"/>
          <w:lang w:val="en-US" w:eastAsia="zh-CN"/>
        </w:rPr>
        <w:t>a</w:t>
      </w:r>
      <w:r>
        <w:rPr>
          <w:rFonts w:hint="eastAsia" w:ascii="Times New Roman" w:hAnsi="Times New Roman" w:eastAsia="仿宋" w:cs="Times New Roman"/>
          <w:color w:val="auto"/>
          <w:highlight w:val="none"/>
          <w:vertAlign w:val="subscript"/>
          <w:lang w:val="en-US" w:eastAsia="zh-CN"/>
        </w:rPr>
        <w:t>2</w:t>
      </w:r>
      <w:r>
        <w:rPr>
          <w:rFonts w:hint="eastAsia" w:ascii="Times New Roman" w:hAnsi="Times New Roman" w:eastAsia="仿宋" w:cs="Times New Roman"/>
          <w:color w:val="auto"/>
          <w:spacing w:val="0"/>
          <w:highlight w:val="none"/>
          <w:vertAlign w:val="baseline"/>
          <w:lang w:val="en-US" w:eastAsia="zh-CN"/>
        </w:rPr>
        <w:t>≦100%</w:t>
      </w:r>
      <w:r>
        <w:rPr>
          <w:rFonts w:hint="eastAsia" w:ascii="宋体" w:hAnsi="宋体" w:eastAsia="宋体" w:cs="宋体"/>
          <w:color w:val="auto"/>
          <w:highlight w:val="none"/>
          <w:lang w:val="en-US" w:eastAsia="zh-CN"/>
        </w:rPr>
        <w:t>；</w:t>
      </w:r>
    </w:p>
    <w:p>
      <w:pPr>
        <w:pStyle w:val="8"/>
        <w:spacing w:beforeLines="0" w:afterLines="0" w:line="580" w:lineRule="exact"/>
        <w:ind w:firstLine="640" w:firstLineChars="200"/>
        <w:jc w:val="both"/>
        <w:rPr>
          <w:rFonts w:hint="eastAsia" w:ascii="Times New Roman" w:hAnsi="Times New Roman" w:eastAsia="仿宋" w:cs="Times New Roman"/>
          <w:color w:val="auto"/>
          <w:spacing w:val="0"/>
          <w:highlight w:val="none"/>
          <w:vertAlign w:val="baseline"/>
          <w:lang w:val="en-US" w:eastAsia="zh-CN"/>
        </w:rPr>
      </w:pPr>
      <w:r>
        <w:rPr>
          <w:rFonts w:ascii="Times New Roman" w:hAnsi="Times New Roman" w:cs="Times New Roman"/>
          <w:color w:val="auto"/>
          <w:highlight w:val="none"/>
        </w:rPr>
        <w:t>P</w:t>
      </w:r>
      <w:r>
        <w:rPr>
          <w:rFonts w:hint="eastAsia" w:ascii="Times New Roman" w:hAnsi="Times New Roman" w:cs="Times New Roman"/>
          <w:color w:val="auto"/>
          <w:spacing w:val="8"/>
          <w:highlight w:val="none"/>
          <w:vertAlign w:val="subscript"/>
          <w:lang w:val="en-US" w:eastAsia="zh-CN"/>
        </w:rPr>
        <w:t>同类型电源中长期综合电价</w:t>
      </w:r>
      <w:r>
        <w:rPr>
          <w:rFonts w:hint="eastAsia" w:ascii="Times New Roman" w:hAnsi="Times New Roman" w:eastAsia="仿宋" w:cs="Times New Roman"/>
          <w:color w:val="auto"/>
          <w:spacing w:val="0"/>
          <w:highlight w:val="none"/>
          <w:vertAlign w:val="baseline"/>
          <w:lang w:val="en-US" w:eastAsia="zh-CN"/>
        </w:rPr>
        <w:t>为当月所有直接参与市场交易的同类型电源省内中长期合约加权综合价；</w:t>
      </w:r>
    </w:p>
    <w:p>
      <w:pPr>
        <w:pStyle w:val="8"/>
        <w:spacing w:beforeLines="0" w:afterLines="0" w:line="580" w:lineRule="exact"/>
        <w:ind w:firstLine="640" w:firstLineChars="200"/>
        <w:jc w:val="both"/>
        <w:rPr>
          <w:rFonts w:hint="eastAsia" w:ascii="Times New Roman" w:hAnsi="Times New Roman" w:eastAsia="方正仿宋_GBK" w:cs="Times New Roman"/>
          <w:color w:val="auto"/>
          <w:highlight w:val="none"/>
          <w:lang w:val="en-US" w:eastAsia="zh-CN"/>
        </w:rPr>
      </w:pPr>
      <w:r>
        <w:rPr>
          <w:rFonts w:hint="eastAsia" w:ascii="Times New Roman" w:hAnsi="Times New Roman" w:cs="Times New Roman"/>
          <w:color w:val="auto"/>
          <w:highlight w:val="none"/>
          <w:lang w:val="en-US" w:eastAsia="en-US"/>
        </w:rPr>
        <w:t>P</w:t>
      </w:r>
      <w:r>
        <w:rPr>
          <w:rFonts w:hint="eastAsia" w:ascii="Times New Roman" w:hAnsi="Times New Roman" w:cs="Times New Roman"/>
          <w:color w:val="auto"/>
          <w:spacing w:val="8"/>
          <w:highlight w:val="none"/>
          <w:vertAlign w:val="subscript"/>
          <w:lang w:val="en-US" w:eastAsia="zh-CN"/>
        </w:rPr>
        <w:t>同类型电源现货实时均价</w:t>
      </w:r>
      <w:r>
        <w:rPr>
          <w:rFonts w:hint="eastAsia" w:ascii="Times New Roman" w:hAnsi="Times New Roman" w:cs="Times New Roman"/>
          <w:color w:val="auto"/>
          <w:highlight w:val="none"/>
          <w:lang w:val="en-US" w:eastAsia="zh-CN"/>
        </w:rPr>
        <w:t>为</w:t>
      </w:r>
      <w:r>
        <w:rPr>
          <w:rFonts w:hint="eastAsia" w:ascii="Times New Roman" w:hAnsi="Times New Roman" w:eastAsia="仿宋" w:cs="Times New Roman"/>
          <w:color w:val="auto"/>
          <w:spacing w:val="0"/>
          <w:highlight w:val="none"/>
          <w:vertAlign w:val="baseline"/>
          <w:lang w:val="en-US" w:eastAsia="zh-CN"/>
        </w:rPr>
        <w:t>当月所有直接参与市场交易的</w:t>
      </w:r>
      <w:r>
        <w:rPr>
          <w:rFonts w:hint="default" w:ascii="Times New Roman" w:hAnsi="Times New Roman" w:cs="Times New Roman"/>
          <w:color w:val="auto"/>
          <w:highlight w:val="none"/>
          <w:lang w:val="en-US" w:eastAsia="zh-CN"/>
        </w:rPr>
        <w:t>同类型电源</w:t>
      </w:r>
      <w:r>
        <w:rPr>
          <w:rFonts w:hint="default" w:ascii="Times New Roman" w:hAnsi="Times New Roman" w:cs="Times New Roman"/>
          <w:color w:val="auto"/>
          <w:highlight w:val="none"/>
        </w:rPr>
        <w:t>实时市场</w:t>
      </w:r>
      <w:r>
        <w:rPr>
          <w:rFonts w:hint="eastAsia" w:ascii="Times New Roman" w:hAnsi="Times New Roman" w:cs="Times New Roman"/>
          <w:color w:val="auto"/>
          <w:highlight w:val="none"/>
          <w:lang w:val="en-US" w:eastAsia="zh-CN"/>
        </w:rPr>
        <w:t>月度</w:t>
      </w:r>
      <w:r>
        <w:rPr>
          <w:rFonts w:hint="default" w:ascii="Times New Roman" w:hAnsi="Times New Roman" w:cs="Times New Roman"/>
          <w:color w:val="auto"/>
          <w:highlight w:val="none"/>
        </w:rPr>
        <w:t>统一结算点电价</w:t>
      </w:r>
      <w:r>
        <w:rPr>
          <w:rFonts w:hint="eastAsia" w:ascii="Times New Roman" w:hAnsi="Times New Roman" w:cs="Times New Roman"/>
          <w:color w:val="auto"/>
          <w:highlight w:val="none"/>
          <w:lang w:eastAsia="zh-CN"/>
        </w:rPr>
        <w:t>；</w:t>
      </w:r>
    </w:p>
    <w:p>
      <w:pPr>
        <w:pStyle w:val="8"/>
        <w:numPr>
          <w:ilvl w:val="0"/>
          <w:numId w:val="1"/>
        </w:numPr>
        <w:spacing w:beforeLines="0" w:afterLines="0" w:line="580" w:lineRule="exact"/>
        <w:ind w:firstLine="672" w:firstLineChars="200"/>
        <w:jc w:val="both"/>
        <w:rPr>
          <w:rFonts w:hint="eastAsia" w:ascii="Times New Roman" w:hAnsi="Times New Roman" w:cs="Times New Roman"/>
          <w:color w:val="auto"/>
          <w:spacing w:val="8"/>
          <w:highlight w:val="none"/>
          <w:vertAlign w:val="baseline"/>
          <w:lang w:val="en-US" w:eastAsia="zh-CN"/>
        </w:rPr>
      </w:pPr>
      <w:r>
        <w:rPr>
          <w:rFonts w:hint="eastAsia" w:ascii="Times New Roman" w:hAnsi="Times New Roman" w:cs="Times New Roman"/>
          <w:color w:val="auto"/>
          <w:spacing w:val="8"/>
          <w:highlight w:val="none"/>
          <w:vertAlign w:val="baseline"/>
          <w:lang w:val="en-US" w:eastAsia="zh-CN"/>
        </w:rPr>
        <w:t>聚合资源主体结算。计算公式如下：</w:t>
      </w:r>
    </w:p>
    <w:p>
      <w:pPr>
        <w:pStyle w:val="8"/>
        <w:numPr>
          <w:ilvl w:val="-1"/>
          <w:numId w:val="0"/>
        </w:numPr>
        <w:spacing w:beforeLines="0" w:afterLines="0" w:line="580" w:lineRule="exact"/>
        <w:ind w:firstLine="672" w:firstLineChars="200"/>
        <w:jc w:val="both"/>
        <w:rPr>
          <w:rFonts w:hint="default"/>
        </w:rPr>
      </w:pPr>
      <w:r>
        <w:rPr>
          <w:rFonts w:hint="eastAsia" w:ascii="Times New Roman" w:hAnsi="Times New Roman" w:eastAsia="方正仿宋_GBK" w:cs="Times New Roman"/>
          <w:color w:val="auto"/>
          <w:spacing w:val="8"/>
          <w:highlight w:val="none"/>
          <w:vertAlign w:val="baseline"/>
          <w:lang w:val="en-US" w:eastAsia="zh-CN"/>
        </w:rPr>
        <w:t>C</w:t>
      </w:r>
      <w:r>
        <w:rPr>
          <w:rFonts w:hint="default" w:ascii="Times New Roman" w:hAnsi="Times New Roman" w:cs="Times New Roman"/>
          <w:color w:val="auto"/>
          <w:spacing w:val="8"/>
          <w:highlight w:val="none"/>
          <w:vertAlign w:val="subscript"/>
          <w:lang w:val="en-US" w:eastAsia="zh-CN"/>
        </w:rPr>
        <w:t>聚合资源电能量</w:t>
      </w:r>
      <w:r>
        <w:rPr>
          <w:rFonts w:hint="eastAsia" w:ascii="Times New Roman" w:hAnsi="Times New Roman" w:cs="Times New Roman"/>
          <w:color w:val="auto"/>
          <w:spacing w:val="8"/>
          <w:highlight w:val="none"/>
          <w:vertAlign w:val="baseline"/>
          <w:lang w:val="en-US" w:eastAsia="zh-CN"/>
        </w:rPr>
        <w:t>=Q</w:t>
      </w:r>
      <w:r>
        <w:rPr>
          <w:rFonts w:hint="default" w:ascii="Times New Roman" w:hAnsi="Times New Roman" w:cs="Times New Roman"/>
          <w:color w:val="auto"/>
          <w:spacing w:val="8"/>
          <w:highlight w:val="none"/>
          <w:vertAlign w:val="subscript"/>
          <w:lang w:val="en-US" w:eastAsia="zh-CN"/>
        </w:rPr>
        <w:t>实际</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val="en-US" w:eastAsia="zh-CN"/>
        </w:rPr>
        <w:t>P</w:t>
      </w:r>
      <w:r>
        <w:rPr>
          <w:rFonts w:hint="eastAsia" w:ascii="Times New Roman" w:hAnsi="Times New Roman" w:cs="Times New Roman"/>
          <w:color w:val="auto"/>
          <w:spacing w:val="8"/>
          <w:highlight w:val="none"/>
          <w:vertAlign w:val="subscript"/>
          <w:lang w:val="en-US" w:eastAsia="zh-CN"/>
        </w:rPr>
        <w:t>套餐</w:t>
      </w:r>
    </w:p>
    <w:p>
      <w:pPr>
        <w:pStyle w:val="8"/>
        <w:spacing w:beforeLines="0" w:after="0" w:afterLines="0" w:line="580" w:lineRule="exact"/>
        <w:ind w:firstLine="672" w:firstLineChars="200"/>
        <w:rPr>
          <w:rFonts w:hint="default" w:ascii="Times New Roman" w:hAnsi="Times New Roman" w:cs="Times New Roman"/>
          <w:color w:val="auto"/>
          <w:spacing w:val="8"/>
          <w:highlight w:val="none"/>
          <w:lang w:val="en-US"/>
        </w:rPr>
      </w:pPr>
      <w:r>
        <w:rPr>
          <w:rFonts w:hint="eastAsia" w:ascii="Times New Roman" w:hAnsi="Times New Roman" w:cs="Times New Roman"/>
          <w:color w:val="auto"/>
          <w:spacing w:val="8"/>
          <w:highlight w:val="none"/>
          <w:vertAlign w:val="baseline"/>
          <w:lang w:val="en-US" w:eastAsia="zh-CN"/>
        </w:rPr>
        <w:t>Q</w:t>
      </w:r>
      <w:r>
        <w:rPr>
          <w:rFonts w:hint="default" w:ascii="Times New Roman" w:hAnsi="Times New Roman" w:cs="Times New Roman"/>
          <w:color w:val="auto"/>
          <w:spacing w:val="8"/>
          <w:highlight w:val="none"/>
          <w:vertAlign w:val="subscript"/>
          <w:lang w:val="en-US" w:eastAsia="zh-CN"/>
        </w:rPr>
        <w:t>实际</w:t>
      </w:r>
      <w:r>
        <w:rPr>
          <w:rFonts w:hint="eastAsia" w:ascii="Times New Roman" w:hAnsi="Times New Roman" w:cs="Times New Roman"/>
          <w:color w:val="auto"/>
          <w:spacing w:val="8"/>
          <w:highlight w:val="none"/>
          <w:vertAlign w:val="baseline"/>
          <w:lang w:val="en-US" w:eastAsia="zh-CN"/>
        </w:rPr>
        <w:t>为聚合资源主体月度实际上网电量；</w:t>
      </w:r>
    </w:p>
    <w:p>
      <w:pPr>
        <w:pStyle w:val="8"/>
        <w:spacing w:beforeLines="0" w:afterLines="0" w:line="580" w:lineRule="exact"/>
        <w:ind w:firstLine="672" w:firstLineChars="200"/>
        <w:jc w:val="both"/>
        <w:rPr>
          <w:rFonts w:hint="default" w:ascii="Times New Roman" w:hAnsi="Times New Roman"/>
          <w:color w:val="auto"/>
          <w:spacing w:val="8"/>
          <w:highlight w:val="none"/>
          <w:lang w:eastAsia="zh-CN"/>
        </w:rPr>
      </w:pPr>
      <w:r>
        <w:rPr>
          <w:rFonts w:hint="eastAsia" w:ascii="Times New Roman" w:hAnsi="Times New Roman" w:eastAsia="方正仿宋_GBK" w:cs="Times New Roman"/>
          <w:color w:val="auto"/>
          <w:spacing w:val="8"/>
          <w:kern w:val="0"/>
          <w:sz w:val="32"/>
          <w:szCs w:val="21"/>
          <w:highlight w:val="none"/>
          <w:lang w:eastAsia="zh-CN"/>
        </w:rPr>
        <w:t>P</w:t>
      </w:r>
      <w:r>
        <w:rPr>
          <w:rFonts w:hint="eastAsia" w:ascii="Times New Roman" w:hAnsi="Times New Roman" w:cs="Times New Roman"/>
          <w:color w:val="auto"/>
          <w:spacing w:val="8"/>
          <w:kern w:val="0"/>
          <w:sz w:val="32"/>
          <w:szCs w:val="21"/>
          <w:highlight w:val="none"/>
          <w:vertAlign w:val="subscript"/>
          <w:lang w:val="en-US" w:eastAsia="zh-CN"/>
        </w:rPr>
        <w:t>套餐</w:t>
      </w:r>
      <w:r>
        <w:rPr>
          <w:rFonts w:hint="eastAsia" w:ascii="Times New Roman" w:hAnsi="Times New Roman" w:eastAsia="方正仿宋_GBK" w:cs="Times New Roman"/>
          <w:color w:val="auto"/>
          <w:spacing w:val="8"/>
          <w:kern w:val="0"/>
          <w:sz w:val="32"/>
          <w:szCs w:val="21"/>
          <w:highlight w:val="none"/>
          <w:lang w:eastAsia="zh-CN"/>
        </w:rPr>
        <w:t>为</w:t>
      </w:r>
      <w:r>
        <w:rPr>
          <w:rFonts w:hint="eastAsia" w:ascii="Times New Roman" w:hAnsi="Times New Roman" w:eastAsia="仿宋" w:cs="Times New Roman"/>
          <w:color w:val="auto"/>
          <w:spacing w:val="0"/>
          <w:highlight w:val="none"/>
          <w:vertAlign w:val="baseline"/>
          <w:lang w:val="en-US" w:eastAsia="zh-CN"/>
        </w:rPr>
        <w:t>聚合资源主体套餐价格。</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Lines="0" w:beforeAutospacing="0" w:afterLines="0" w:afterAutospacing="0" w:line="580" w:lineRule="exact"/>
        <w:ind w:left="0" w:leftChars="0" w:right="0" w:rightChars="0" w:firstLine="640" w:firstLineChars="200"/>
        <w:jc w:val="both"/>
        <w:textAlignment w:val="baseline"/>
        <w:rPr>
          <w:rFonts w:hint="eastAsia" w:cs="方正仿宋_GBK"/>
          <w:color w:val="000000"/>
          <w:kern w:val="2"/>
          <w:sz w:val="32"/>
          <w:szCs w:val="32"/>
          <w:lang w:val="en-US" w:eastAsia="zh-CN" w:bidi="ar-SA"/>
        </w:rPr>
      </w:pPr>
      <w:r>
        <w:rPr>
          <w:rFonts w:hint="eastAsia" w:cs="方正仿宋_GBK"/>
          <w:color w:val="000000"/>
          <w:kern w:val="2"/>
          <w:sz w:val="32"/>
          <w:szCs w:val="32"/>
          <w:lang w:val="en-US" w:eastAsia="zh-CN" w:bidi="ar-SA"/>
        </w:rPr>
        <w:t>2.虚拟电厂月度总电费包含批发市场电能量电费、市场运营费用、零售市场电能量电费。</w:t>
      </w:r>
    </w:p>
    <w:p>
      <w:pPr>
        <w:spacing w:beforeLines="0" w:afterLines="0" w:line="580" w:lineRule="exact"/>
        <w:ind w:firstLineChars="200"/>
        <w:jc w:val="both"/>
        <w:rPr>
          <w:rFonts w:hint="default" w:ascii="仿宋_GB2312" w:hAnsi="Times New Roman" w:eastAsia="仿宋_GB2312" w:cs="仿宋_GB2312"/>
          <w:i w:val="0"/>
          <w:iCs w:val="0"/>
          <w:snapToGrid w:val="0"/>
          <w:color w:val="000000"/>
          <w:kern w:val="2"/>
          <w:sz w:val="32"/>
          <w:szCs w:val="32"/>
          <w:vertAlign w:val="subscript"/>
          <w:lang w:val="en-US" w:eastAsia="zh-CN" w:bidi="ar"/>
        </w:rPr>
      </w:pPr>
      <w:r>
        <w:rPr>
          <w:rFonts w:hint="default" w:ascii="Times New Roman" w:hAnsi="Times New Roman" w:eastAsia="宋体" w:cs="Times New Roman"/>
          <w:i/>
          <w:iCs/>
          <w:snapToGrid w:val="0"/>
          <w:color w:val="000000"/>
          <w:kern w:val="0"/>
          <w:sz w:val="28"/>
          <w:szCs w:val="28"/>
          <w:lang w:val="en-US" w:eastAsia="zh-CN" w:bidi="ar"/>
        </w:rPr>
        <w:t>R</w:t>
      </w:r>
      <w:r>
        <w:rPr>
          <w:rFonts w:hint="eastAsia" w:ascii="仿宋_GB2312" w:hAnsi="Times New Roman" w:eastAsia="仿宋_GB2312" w:cs="仿宋_GB2312"/>
          <w:i w:val="0"/>
          <w:iCs w:val="0"/>
          <w:snapToGrid w:val="0"/>
          <w:color w:val="000000"/>
          <w:kern w:val="2"/>
          <w:sz w:val="32"/>
          <w:szCs w:val="32"/>
          <w:vertAlign w:val="subscript"/>
          <w:lang w:val="en-US" w:eastAsia="zh-CN" w:bidi="ar"/>
        </w:rPr>
        <w:t>虚拟电厂聚合单元</w:t>
      </w:r>
      <w:r>
        <w:rPr>
          <w:rFonts w:hint="default" w:ascii="Times New Roman" w:hAnsi="Times New Roman" w:eastAsia="仿宋_GB2312" w:cs="Times New Roman"/>
          <w:i w:val="0"/>
          <w:iCs w:val="0"/>
          <w:snapToGrid w:val="0"/>
          <w:color w:val="000000"/>
          <w:kern w:val="2"/>
          <w:sz w:val="32"/>
          <w:szCs w:val="32"/>
          <w:lang w:val="en-US" w:eastAsia="zh-CN" w:bidi="ar"/>
        </w:rPr>
        <w:t>=</w:t>
      </w:r>
      <w:r>
        <w:rPr>
          <w:rFonts w:hint="default" w:ascii="Times New Roman" w:hAnsi="Times New Roman" w:eastAsia="宋体" w:cs="Times New Roman"/>
          <w:i w:val="0"/>
          <w:iCs w:val="0"/>
          <w:snapToGrid w:val="0"/>
          <w:color w:val="000000"/>
          <w:kern w:val="0"/>
          <w:sz w:val="28"/>
          <w:szCs w:val="28"/>
          <w:lang w:val="en-US" w:eastAsia="zh-CN" w:bidi="ar"/>
        </w:rPr>
        <w:t>C</w:t>
      </w:r>
      <w:r>
        <w:rPr>
          <w:rFonts w:hint="default" w:ascii="仿宋_GB2312" w:hAnsi="Times New Roman" w:eastAsia="仿宋_GB2312" w:cs="仿宋_GB2312"/>
          <w:i w:val="0"/>
          <w:iCs w:val="0"/>
          <w:snapToGrid w:val="0"/>
          <w:color w:val="000000"/>
          <w:kern w:val="2"/>
          <w:sz w:val="32"/>
          <w:szCs w:val="32"/>
          <w:vertAlign w:val="subscript"/>
          <w:lang w:val="en-US" w:eastAsia="zh-CN" w:bidi="ar"/>
        </w:rPr>
        <w:t>批发市场</w:t>
      </w:r>
      <w:r>
        <w:rPr>
          <w:rFonts w:hint="eastAsia" w:ascii="Times New Roman" w:hAnsi="Times New Roman" w:eastAsia="仿宋_GB2312" w:cs="Times New Roman"/>
          <w:i w:val="0"/>
          <w:iCs w:val="0"/>
          <w:snapToGrid w:val="0"/>
          <w:color w:val="000000"/>
          <w:kern w:val="2"/>
          <w:sz w:val="32"/>
          <w:szCs w:val="32"/>
          <w:lang w:val="en-US" w:eastAsia="zh-CN" w:bidi="ar"/>
        </w:rPr>
        <w:t>-</w:t>
      </w:r>
      <w:r>
        <w:rPr>
          <w:rFonts w:hint="default" w:ascii="Times New Roman" w:hAnsi="Times New Roman" w:eastAsia="仿宋_GB2312" w:cs="Times New Roman"/>
          <w:i w:val="0"/>
          <w:iCs w:val="0"/>
          <w:snapToGrid w:val="0"/>
          <w:color w:val="000000"/>
          <w:kern w:val="2"/>
          <w:sz w:val="32"/>
          <w:szCs w:val="32"/>
          <w:lang w:val="en-US" w:eastAsia="zh-CN" w:bidi="ar"/>
        </w:rPr>
        <w:t>C</w:t>
      </w:r>
      <w:r>
        <w:rPr>
          <w:rFonts w:hint="default" w:ascii="仿宋_GB2312" w:hAnsi="Times New Roman" w:eastAsia="仿宋_GB2312" w:cs="仿宋_GB2312"/>
          <w:i w:val="0"/>
          <w:iCs w:val="0"/>
          <w:snapToGrid w:val="0"/>
          <w:color w:val="000000"/>
          <w:kern w:val="2"/>
          <w:sz w:val="32"/>
          <w:szCs w:val="32"/>
          <w:vertAlign w:val="subscript"/>
          <w:lang w:val="en-US" w:eastAsia="zh-CN" w:bidi="ar"/>
        </w:rPr>
        <w:t>聚合资源电能量</w:t>
      </w:r>
      <w:r>
        <w:rPr>
          <w:rFonts w:hint="eastAsia" w:ascii="Times New Roman" w:hAnsi="Times New Roman" w:eastAsia="仿宋_GB2312" w:cs="Times New Roman"/>
          <w:i w:val="0"/>
          <w:iCs w:val="0"/>
          <w:snapToGrid w:val="0"/>
          <w:color w:val="000000"/>
          <w:kern w:val="2"/>
          <w:sz w:val="32"/>
          <w:szCs w:val="32"/>
          <w:lang w:val="en-US" w:eastAsia="zh-CN" w:bidi="ar"/>
        </w:rPr>
        <w:t>+</w:t>
      </w:r>
      <w:r>
        <w:rPr>
          <w:rFonts w:hint="default" w:ascii="Times New Roman" w:hAnsi="Times New Roman" w:eastAsia="宋体" w:cs="Times New Roman"/>
          <w:i/>
          <w:iCs/>
          <w:snapToGrid w:val="0"/>
          <w:color w:val="000000"/>
          <w:kern w:val="0"/>
          <w:sz w:val="28"/>
          <w:szCs w:val="28"/>
          <w:lang w:val="en-US" w:eastAsia="zh-CN" w:bidi="ar"/>
        </w:rPr>
        <w:t>R</w:t>
      </w:r>
      <w:r>
        <w:rPr>
          <w:rFonts w:hint="default" w:ascii="仿宋_GB2312" w:hAnsi="Times New Roman" w:eastAsia="仿宋_GB2312" w:cs="仿宋_GB2312"/>
          <w:i w:val="0"/>
          <w:iCs w:val="0"/>
          <w:snapToGrid w:val="0"/>
          <w:color w:val="000000"/>
          <w:kern w:val="2"/>
          <w:sz w:val="32"/>
          <w:szCs w:val="32"/>
          <w:vertAlign w:val="subscript"/>
          <w:lang w:val="en-US" w:eastAsia="zh-CN" w:bidi="ar"/>
        </w:rPr>
        <w:t>市场运营</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Lines="0" w:beforeAutospacing="0" w:afterLines="0" w:afterAutospacing="0" w:line="580" w:lineRule="exact"/>
        <w:ind w:left="0" w:leftChars="0" w:right="0" w:rightChars="0" w:firstLine="560" w:firstLineChars="200"/>
        <w:jc w:val="both"/>
        <w:textAlignment w:val="baseline"/>
        <w:rPr>
          <w:rFonts w:hint="eastAsia" w:cs="方正仿宋_GBK"/>
          <w:i w:val="0"/>
          <w:iCs w:val="0"/>
          <w:snapToGrid w:val="0"/>
          <w:color w:val="000000"/>
          <w:kern w:val="2"/>
          <w:sz w:val="32"/>
          <w:szCs w:val="32"/>
          <w:highlight w:val="none"/>
          <w:vertAlign w:val="baseline"/>
          <w:lang w:val="en-US" w:eastAsia="zh-CN" w:bidi="ar-SA"/>
        </w:rPr>
      </w:pPr>
      <w:r>
        <w:rPr>
          <w:rFonts w:hint="default" w:ascii="Times New Roman" w:hAnsi="Times New Roman" w:eastAsia="宋体" w:cs="Times New Roman"/>
          <w:i w:val="0"/>
          <w:iCs w:val="0"/>
          <w:snapToGrid w:val="0"/>
          <w:color w:val="000000"/>
          <w:kern w:val="0"/>
          <w:sz w:val="28"/>
          <w:szCs w:val="28"/>
          <w:lang w:val="en-US" w:eastAsia="zh-CN" w:bidi="ar"/>
        </w:rPr>
        <w:t>C</w:t>
      </w:r>
      <w:r>
        <w:rPr>
          <w:rFonts w:hint="default" w:ascii="仿宋_GB2312" w:hAnsi="Times New Roman" w:eastAsia="仿宋_GB2312" w:cs="仿宋_GB2312"/>
          <w:i w:val="0"/>
          <w:iCs w:val="0"/>
          <w:snapToGrid w:val="0"/>
          <w:color w:val="000000"/>
          <w:kern w:val="2"/>
          <w:sz w:val="32"/>
          <w:szCs w:val="32"/>
          <w:vertAlign w:val="subscript"/>
          <w:lang w:val="en-US" w:eastAsia="zh-CN" w:bidi="ar"/>
        </w:rPr>
        <w:t>批发市场</w:t>
      </w:r>
      <w:r>
        <w:rPr>
          <w:rFonts w:hint="eastAsia" w:ascii="方正仿宋_GBK" w:hAnsi="方正仿宋_GBK" w:eastAsia="方正仿宋_GBK" w:cs="方正仿宋_GBK"/>
          <w:i w:val="0"/>
          <w:iCs w:val="0"/>
          <w:snapToGrid w:val="0"/>
          <w:color w:val="000000"/>
          <w:kern w:val="2"/>
          <w:sz w:val="32"/>
          <w:szCs w:val="32"/>
          <w:highlight w:val="none"/>
          <w:vertAlign w:val="baseline"/>
          <w:lang w:val="en-US" w:eastAsia="zh-CN" w:bidi="ar-SA"/>
        </w:rPr>
        <w:t>为虚拟电厂批发市场</w:t>
      </w:r>
      <w:r>
        <w:rPr>
          <w:rFonts w:hint="eastAsia" w:cs="方正仿宋_GBK"/>
          <w:i w:val="0"/>
          <w:iCs w:val="0"/>
          <w:snapToGrid w:val="0"/>
          <w:color w:val="000000"/>
          <w:kern w:val="2"/>
          <w:sz w:val="32"/>
          <w:szCs w:val="32"/>
          <w:highlight w:val="none"/>
          <w:vertAlign w:val="baseline"/>
          <w:lang w:val="en-US" w:eastAsia="zh-CN" w:bidi="ar-SA"/>
        </w:rPr>
        <w:t>电能量</w:t>
      </w:r>
      <w:r>
        <w:rPr>
          <w:rFonts w:hint="eastAsia" w:ascii="方正仿宋_GBK" w:hAnsi="方正仿宋_GBK" w:eastAsia="方正仿宋_GBK" w:cs="方正仿宋_GBK"/>
          <w:i w:val="0"/>
          <w:iCs w:val="0"/>
          <w:snapToGrid w:val="0"/>
          <w:color w:val="000000"/>
          <w:kern w:val="2"/>
          <w:sz w:val="32"/>
          <w:szCs w:val="32"/>
          <w:highlight w:val="none"/>
          <w:vertAlign w:val="baseline"/>
          <w:lang w:val="en-US" w:eastAsia="zh-CN" w:bidi="ar-SA"/>
        </w:rPr>
        <w:t>结算费用</w:t>
      </w:r>
      <w:r>
        <w:rPr>
          <w:rFonts w:hint="eastAsia" w:cs="方正仿宋_GBK"/>
          <w:i w:val="0"/>
          <w:iCs w:val="0"/>
          <w:snapToGrid w:val="0"/>
          <w:color w:val="000000"/>
          <w:kern w:val="2"/>
          <w:sz w:val="32"/>
          <w:szCs w:val="32"/>
          <w:highlight w:val="none"/>
          <w:vertAlign w:val="baseline"/>
          <w:lang w:val="en-US" w:eastAsia="zh-CN" w:bidi="ar-SA"/>
        </w:rPr>
        <w:t>；</w:t>
      </w:r>
    </w:p>
    <w:p>
      <w:pPr>
        <w:pStyle w:val="9"/>
        <w:spacing w:beforeLines="0" w:afterLines="0" w:line="580" w:lineRule="exact"/>
        <w:ind w:firstLine="640" w:firstLineChars="200"/>
        <w:jc w:val="both"/>
        <w:outlineLvl w:val="9"/>
        <w:rPr>
          <w:rFonts w:hint="default"/>
          <w:lang w:val="en-US" w:eastAsia="zh-CN"/>
        </w:rPr>
      </w:pPr>
      <w:r>
        <w:rPr>
          <w:rFonts w:hint="default" w:ascii="Times New Roman" w:hAnsi="Times New Roman" w:eastAsia="仿宋_GB2312" w:cs="Times New Roman"/>
          <w:i w:val="0"/>
          <w:iCs w:val="0"/>
          <w:snapToGrid w:val="0"/>
          <w:color w:val="000000"/>
          <w:kern w:val="2"/>
          <w:sz w:val="32"/>
          <w:szCs w:val="32"/>
          <w:lang w:val="en-US" w:eastAsia="zh-CN" w:bidi="ar"/>
        </w:rPr>
        <w:t>C</w:t>
      </w:r>
      <w:r>
        <w:rPr>
          <w:rFonts w:hint="default" w:ascii="仿宋_GB2312" w:hAnsi="Times New Roman" w:eastAsia="仿宋_GB2312" w:cs="仿宋_GB2312"/>
          <w:i w:val="0"/>
          <w:iCs w:val="0"/>
          <w:snapToGrid w:val="0"/>
          <w:color w:val="000000"/>
          <w:kern w:val="2"/>
          <w:sz w:val="32"/>
          <w:szCs w:val="32"/>
          <w:vertAlign w:val="subscript"/>
          <w:lang w:val="en-US" w:eastAsia="zh-CN" w:bidi="ar"/>
        </w:rPr>
        <w:t>聚合资源电能量</w:t>
      </w:r>
      <w:r>
        <w:rPr>
          <w:rFonts w:hint="eastAsia" w:ascii="方正仿宋_GBK" w:hAnsi="方正仿宋_GBK" w:eastAsia="方正仿宋_GBK" w:cs="方正仿宋_GBK"/>
          <w:i w:val="0"/>
          <w:iCs w:val="0"/>
          <w:snapToGrid w:val="0"/>
          <w:color w:val="000000"/>
          <w:kern w:val="2"/>
          <w:sz w:val="32"/>
          <w:szCs w:val="32"/>
          <w:highlight w:val="none"/>
          <w:vertAlign w:val="baseline"/>
          <w:lang w:val="en-US" w:eastAsia="zh-CN" w:bidi="ar-SA"/>
        </w:rPr>
        <w:t>为虚拟电厂聚合资源主体电能量结算费用；</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Lines="0" w:beforeAutospacing="0" w:afterLines="0" w:afterAutospacing="0" w:line="580" w:lineRule="exact"/>
        <w:ind w:left="0" w:leftChars="0" w:right="0" w:rightChars="0" w:firstLine="560" w:firstLineChars="200"/>
        <w:jc w:val="both"/>
        <w:textAlignment w:val="baseline"/>
        <w:rPr>
          <w:rFonts w:hint="eastAsia" w:cs="方正仿宋_GBK"/>
          <w:color w:val="000000"/>
          <w:kern w:val="2"/>
          <w:sz w:val="32"/>
          <w:szCs w:val="32"/>
          <w:highlight w:val="none"/>
          <w:lang w:val="en-US" w:eastAsia="zh-CN" w:bidi="ar-SA"/>
        </w:rPr>
      </w:pPr>
      <w:r>
        <w:rPr>
          <w:rFonts w:hint="default" w:ascii="Times New Roman" w:hAnsi="Times New Roman" w:eastAsia="宋体" w:cs="Times New Roman"/>
          <w:i/>
          <w:iCs/>
          <w:snapToGrid w:val="0"/>
          <w:color w:val="000000"/>
          <w:kern w:val="0"/>
          <w:sz w:val="28"/>
          <w:szCs w:val="28"/>
          <w:lang w:val="en-US" w:eastAsia="zh-CN" w:bidi="ar"/>
        </w:rPr>
        <w:t>R</w:t>
      </w:r>
      <w:r>
        <w:rPr>
          <w:rFonts w:hint="default" w:ascii="仿宋_GB2312" w:hAnsi="Times New Roman" w:eastAsia="仿宋_GB2312" w:cs="仿宋_GB2312"/>
          <w:i w:val="0"/>
          <w:iCs w:val="0"/>
          <w:snapToGrid w:val="0"/>
          <w:color w:val="000000"/>
          <w:kern w:val="2"/>
          <w:sz w:val="32"/>
          <w:szCs w:val="32"/>
          <w:vertAlign w:val="subscript"/>
          <w:lang w:val="en-US" w:eastAsia="zh-CN" w:bidi="ar"/>
        </w:rPr>
        <w:t>市场运营</w:t>
      </w:r>
      <w:r>
        <w:rPr>
          <w:rFonts w:hint="eastAsia" w:cs="方正仿宋_GBK"/>
          <w:color w:val="000000"/>
          <w:kern w:val="2"/>
          <w:sz w:val="32"/>
          <w:szCs w:val="32"/>
          <w:highlight w:val="none"/>
          <w:lang w:val="en-US" w:eastAsia="zh-CN" w:bidi="ar-SA"/>
        </w:rPr>
        <w:t>为虚拟电厂聚合单元的市场运营结算费用等。</w:t>
      </w:r>
    </w:p>
    <w:p>
      <w:pPr>
        <w:pStyle w:val="8"/>
        <w:numPr>
          <w:ilvl w:val="0"/>
          <w:numId w:val="0"/>
        </w:numPr>
        <w:spacing w:beforeLines="0" w:afterLines="0" w:line="580" w:lineRule="exact"/>
        <w:ind w:firstLine="640" w:firstLineChars="200"/>
        <w:jc w:val="both"/>
        <w:rPr>
          <w:rFonts w:hint="default" w:ascii="方正仿宋_GBK" w:hAnsi="方正仿宋_GBK" w:eastAsia="方正仿宋_GBK" w:cs="方正仿宋_GBK"/>
          <w:kern w:val="2"/>
          <w:sz w:val="32"/>
          <w:szCs w:val="32"/>
          <w:lang w:val="en-US" w:eastAsia="zh-CN"/>
        </w:rPr>
      </w:pPr>
      <w:r>
        <w:rPr>
          <w:rFonts w:hint="eastAsia" w:ascii="方正仿宋_GBK" w:hAnsi="方正仿宋_GBK" w:eastAsia="方正仿宋_GBK" w:cs="方正仿宋_GBK"/>
          <w:color w:val="000000"/>
          <w:kern w:val="2"/>
          <w:sz w:val="32"/>
          <w:szCs w:val="32"/>
          <w:highlight w:val="none"/>
          <w:lang w:val="en-US" w:eastAsia="zh-CN" w:bidi="ar-SA"/>
        </w:rPr>
        <w:t>3.</w:t>
      </w:r>
      <w:r>
        <w:rPr>
          <w:rFonts w:hint="eastAsia" w:ascii="方正仿宋_GBK" w:hAnsi="方正仿宋_GBK" w:eastAsia="方正仿宋_GBK" w:cs="方正仿宋_GBK"/>
          <w:color w:val="000000"/>
          <w:kern w:val="2"/>
          <w:sz w:val="32"/>
          <w:szCs w:val="32"/>
          <w:lang w:val="en-US" w:eastAsia="zh-CN" w:bidi="ar-SA"/>
        </w:rPr>
        <w:t>虚拟电厂聚合的分布式光伏</w:t>
      </w:r>
      <w:r>
        <w:rPr>
          <w:rFonts w:hint="eastAsia" w:cs="方正仿宋_GBK"/>
          <w:color w:val="000000"/>
          <w:kern w:val="2"/>
          <w:sz w:val="32"/>
          <w:szCs w:val="32"/>
          <w:lang w:val="en-US" w:eastAsia="zh-CN" w:bidi="ar-SA"/>
        </w:rPr>
        <w:t>项目</w:t>
      </w:r>
      <w:r>
        <w:rPr>
          <w:rFonts w:hint="eastAsia" w:ascii="方正仿宋_GBK" w:hAnsi="方正仿宋_GBK" w:eastAsia="方正仿宋_GBK" w:cs="方正仿宋_GBK"/>
          <w:color w:val="000000"/>
          <w:kern w:val="2"/>
          <w:sz w:val="32"/>
          <w:szCs w:val="32"/>
          <w:lang w:val="en-US" w:eastAsia="zh-CN" w:bidi="ar-SA"/>
        </w:rPr>
        <w:t>机制电量的认定及机制电价，以湖南省发展改革委发布的正式文件为准。若机制电价与市场化价格存在差异，该差额</w:t>
      </w:r>
      <w:r>
        <w:rPr>
          <w:rFonts w:hint="eastAsia" w:cs="方正仿宋_GBK"/>
          <w:color w:val="000000"/>
          <w:kern w:val="2"/>
          <w:sz w:val="32"/>
          <w:szCs w:val="32"/>
          <w:lang w:val="en-US" w:eastAsia="zh-CN" w:bidi="ar-SA"/>
        </w:rPr>
        <w:t>由电网企业在电费结算中单独列支，不纳入虚拟电厂与聚合资源主体的市场化结算范围。</w:t>
      </w:r>
    </w:p>
    <w:p>
      <w:pPr>
        <w:pStyle w:val="4"/>
        <w:pageBreakBefore w:val="0"/>
        <w:widowControl w:val="0"/>
        <w:kinsoku/>
        <w:wordWrap/>
        <w:overflowPunct/>
        <w:topLinePunct w:val="0"/>
        <w:autoSpaceDE/>
        <w:autoSpaceDN/>
        <w:bidi w:val="0"/>
        <w:adjustRightInd w:val="0"/>
        <w:snapToGrid w:val="0"/>
        <w:spacing w:beforeAutospacing="0" w:afterAutospacing="0" w:line="580" w:lineRule="exact"/>
        <w:ind w:left="0" w:leftChars="0" w:right="0" w:firstLine="640" w:firstLineChars="200"/>
        <w:jc w:val="both"/>
        <w:textAlignment w:val="auto"/>
        <w:outlineLvl w:val="0"/>
        <w:rPr>
          <w:rFonts w:hint="default" w:ascii="仿宋_GB2312" w:hAnsi="仿宋_GB2312" w:eastAsia="方正黑体_GBK" w:cs="Times New Roman"/>
          <w:snapToGrid/>
          <w:color w:val="auto"/>
          <w:kern w:val="2"/>
          <w:lang w:val="en-US" w:eastAsia="zh-CN" w:bidi="ar-SA"/>
        </w:rPr>
      </w:pPr>
      <w:r>
        <w:rPr>
          <w:rFonts w:hint="eastAsia" w:ascii="仿宋_GB2312" w:hAnsi="仿宋_GB2312" w:eastAsia="方正黑体_GBK" w:cs="Times New Roman"/>
          <w:snapToGrid/>
          <w:color w:val="auto"/>
          <w:kern w:val="2"/>
          <w:lang w:val="en-US" w:eastAsia="zh-CN" w:bidi="ar-SA"/>
        </w:rPr>
        <w:t>七</w:t>
      </w:r>
      <w:r>
        <w:rPr>
          <w:rFonts w:hint="default" w:ascii="仿宋_GB2312" w:hAnsi="仿宋_GB2312" w:eastAsia="方正黑体_GBK" w:cs="Times New Roman"/>
          <w:snapToGrid/>
          <w:color w:val="auto"/>
          <w:kern w:val="2"/>
          <w:lang w:val="en-US" w:eastAsia="zh-CN" w:bidi="ar-SA"/>
        </w:rPr>
        <w:t>、信息披露</w:t>
      </w:r>
    </w:p>
    <w:p>
      <w:pPr>
        <w:pStyle w:val="8"/>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Lines="0" w:afterAutospacing="0" w:line="580" w:lineRule="exact"/>
        <w:ind w:left="0" w:leftChars="0" w:right="0" w:rightChars="0" w:firstLine="640" w:firstLineChars="200"/>
        <w:jc w:val="both"/>
        <w:textAlignment w:val="baseline"/>
        <w:rPr>
          <w:rFonts w:hint="default" w:ascii="方正仿宋_GBK" w:hAnsi="方正仿宋_GBK" w:eastAsia="方正仿宋_GBK" w:cs="方正仿宋_GBK"/>
          <w:color w:val="000000"/>
          <w:kern w:val="2"/>
          <w:sz w:val="32"/>
          <w:szCs w:val="32"/>
          <w:lang w:val="en-US" w:eastAsia="zh-CN" w:bidi="ar-SA"/>
        </w:rPr>
      </w:pPr>
      <w:r>
        <w:rPr>
          <w:rFonts w:hint="eastAsia" w:cs="方正仿宋_GBK"/>
          <w:color w:val="000000"/>
          <w:kern w:val="2"/>
          <w:sz w:val="32"/>
          <w:szCs w:val="32"/>
          <w:lang w:val="en-US" w:eastAsia="zh-CN" w:bidi="ar-SA"/>
        </w:rPr>
        <w:t>1.</w:t>
      </w:r>
      <w:r>
        <w:rPr>
          <w:rFonts w:hint="default" w:ascii="方正仿宋_GBK" w:hAnsi="方正仿宋_GBK" w:eastAsia="方正仿宋_GBK" w:cs="方正仿宋_GBK"/>
          <w:color w:val="000000"/>
          <w:kern w:val="2"/>
          <w:sz w:val="32"/>
          <w:szCs w:val="32"/>
          <w:lang w:val="en-US" w:eastAsia="zh-CN" w:bidi="ar-SA"/>
        </w:rPr>
        <w:t>虚拟电厂及其聚合资源</w:t>
      </w:r>
      <w:r>
        <w:rPr>
          <w:rFonts w:hint="eastAsia" w:cs="方正仿宋_GBK"/>
          <w:color w:val="000000"/>
          <w:kern w:val="2"/>
          <w:sz w:val="32"/>
          <w:szCs w:val="32"/>
          <w:lang w:val="en-US" w:eastAsia="zh-CN" w:bidi="ar-SA"/>
        </w:rPr>
        <w:t>主体</w:t>
      </w:r>
      <w:r>
        <w:rPr>
          <w:rFonts w:hint="default" w:ascii="方正仿宋_GBK" w:hAnsi="方正仿宋_GBK" w:eastAsia="方正仿宋_GBK" w:cs="方正仿宋_GBK"/>
          <w:color w:val="000000"/>
          <w:kern w:val="2"/>
          <w:sz w:val="32"/>
          <w:szCs w:val="32"/>
          <w:lang w:val="en-US" w:eastAsia="zh-CN" w:bidi="ar-SA"/>
        </w:rPr>
        <w:t>应当根据法律法规、政策性文件的要求在交易平台披露相关数据和信息，初期暂参照发电企业、售电公司要求披露信息。电网企业依据用户授权，允许虚拟电厂查看其聚合资源主体有关计量电量数据及历史数据信息，并承担相关信息披露职责。</w:t>
      </w:r>
    </w:p>
    <w:p>
      <w:pPr>
        <w:pStyle w:val="8"/>
        <w:numPr>
          <w:ilvl w:val="0"/>
          <w:numId w:val="0"/>
        </w:numPr>
        <w:spacing w:afterLines="0" w:line="580" w:lineRule="exact"/>
        <w:ind w:firstLine="640" w:firstLineChars="200"/>
        <w:jc w:val="both"/>
        <w:rPr>
          <w:rFonts w:hint="default" w:cs="方正仿宋_GBK"/>
          <w:kern w:val="2"/>
          <w:szCs w:val="32"/>
          <w:lang w:val="en-US" w:eastAsia="zh-CN"/>
        </w:rPr>
        <w:sectPr>
          <w:footerReference r:id="rId5" w:type="default"/>
          <w:pgSz w:w="11906" w:h="16838"/>
          <w:pgMar w:top="1984" w:right="1474" w:bottom="1814" w:left="1587" w:header="851" w:footer="992" w:gutter="0"/>
          <w:pgNumType w:fmt="decimal"/>
          <w:cols w:space="425" w:num="1"/>
          <w:docGrid w:type="lines" w:linePitch="312" w:charSpace="0"/>
        </w:sectPr>
      </w:pPr>
      <w:r>
        <w:rPr>
          <w:rFonts w:hint="eastAsia" w:ascii="方正仿宋_GBK" w:hAnsi="方正仿宋_GBK" w:eastAsia="方正仿宋_GBK" w:cs="方正仿宋_GBK"/>
          <w:color w:val="000000"/>
          <w:kern w:val="2"/>
          <w:sz w:val="32"/>
          <w:szCs w:val="32"/>
          <w:lang w:val="en-US" w:eastAsia="zh-CN" w:bidi="ar-SA"/>
        </w:rPr>
        <w:t>2.</w:t>
      </w:r>
      <w:r>
        <w:rPr>
          <w:rFonts w:hint="eastAsia" w:cs="方正仿宋_GBK"/>
          <w:color w:val="000000"/>
          <w:kern w:val="2"/>
          <w:sz w:val="32"/>
          <w:szCs w:val="32"/>
          <w:lang w:val="en-US" w:eastAsia="zh-CN" w:bidi="ar-SA"/>
        </w:rPr>
        <w:t>虚拟电厂应确保向湖南电力交易中心报送的每个聚合资源主体基础数据资料的真实性和准确性。因数据报错导致</w:t>
      </w:r>
      <w:r>
        <w:rPr>
          <w:rFonts w:hint="eastAsia" w:ascii="方正仿宋_GBK" w:hAnsi="方正仿宋_GBK" w:cs="方正仿宋_GBK"/>
          <w:color w:val="000000"/>
          <w:spacing w:val="0"/>
          <w:kern w:val="2"/>
          <w:sz w:val="32"/>
          <w:szCs w:val="32"/>
          <w:highlight w:val="none"/>
          <w:lang w:val="en-US" w:eastAsia="zh-CN"/>
        </w:rPr>
        <w:t>a</w:t>
      </w:r>
      <w:r>
        <w:rPr>
          <w:rFonts w:hint="eastAsia" w:ascii="方正仿宋_GBK" w:hAnsi="方正仿宋_GBK" w:cs="方正仿宋_GBK"/>
          <w:color w:val="000000"/>
          <w:spacing w:val="0"/>
          <w:kern w:val="2"/>
          <w:sz w:val="32"/>
          <w:szCs w:val="32"/>
          <w:highlight w:val="none"/>
          <w:vertAlign w:val="subscript"/>
          <w:lang w:val="en-US" w:eastAsia="zh-CN"/>
        </w:rPr>
        <w:t>1</w:t>
      </w:r>
      <w:r>
        <w:rPr>
          <w:rFonts w:hint="eastAsia" w:ascii="方正仿宋_GBK" w:hAnsi="方正仿宋_GBK" w:cs="方正仿宋_GBK"/>
          <w:color w:val="000000"/>
          <w:spacing w:val="0"/>
          <w:kern w:val="2"/>
          <w:sz w:val="32"/>
          <w:szCs w:val="32"/>
          <w:highlight w:val="none"/>
          <w:vertAlign w:val="baseline"/>
          <w:lang w:val="en-US" w:eastAsia="zh-CN"/>
        </w:rPr>
        <w:t>计算偏差引发结算</w:t>
      </w:r>
      <w:r>
        <w:rPr>
          <w:rFonts w:hint="eastAsia" w:cs="方正仿宋_GBK"/>
          <w:color w:val="000000"/>
          <w:spacing w:val="0"/>
          <w:kern w:val="2"/>
          <w:sz w:val="32"/>
          <w:szCs w:val="32"/>
          <w:vertAlign w:val="baseline"/>
          <w:lang w:val="en-US" w:eastAsia="zh-CN"/>
        </w:rPr>
        <w:t>纠纷</w:t>
      </w:r>
      <w:r>
        <w:rPr>
          <w:rFonts w:hint="eastAsia" w:ascii="方正仿宋_GBK" w:hAnsi="方正仿宋_GBK" w:cs="方正仿宋_GBK"/>
          <w:color w:val="000000"/>
          <w:spacing w:val="0"/>
          <w:kern w:val="2"/>
          <w:sz w:val="32"/>
          <w:szCs w:val="32"/>
          <w:highlight w:val="none"/>
          <w:vertAlign w:val="baseline"/>
          <w:lang w:val="en-US" w:eastAsia="zh-CN"/>
        </w:rPr>
        <w:t>的，由虚拟电厂运营商承担相应责任。</w:t>
      </w:r>
    </w:p>
    <w:p>
      <w:pPr>
        <w:adjustRightInd w:val="0"/>
        <w:snapToGrid w:val="0"/>
        <w:spacing w:line="580" w:lineRule="exact"/>
        <w:outlineLvl w:val="0"/>
        <w:rPr>
          <w:rFonts w:eastAsia="仿宋_GB2312"/>
          <w:b/>
          <w:bCs/>
          <w:sz w:val="32"/>
          <w:szCs w:val="32"/>
        </w:rPr>
      </w:pPr>
      <w:r>
        <w:rPr>
          <w:rFonts w:eastAsia="仿宋_GB2312"/>
          <w:b/>
          <w:sz w:val="32"/>
          <w:szCs w:val="32"/>
        </w:rPr>
        <w:t>附件</w:t>
      </w:r>
      <w:r>
        <w:rPr>
          <w:rFonts w:hint="eastAsia" w:eastAsia="仿宋_GB2312"/>
          <w:b/>
          <w:sz w:val="32"/>
          <w:szCs w:val="32"/>
          <w:lang w:val="en-US" w:eastAsia="zh-CN"/>
        </w:rPr>
        <w:t>1</w:t>
      </w:r>
      <w:r>
        <w:rPr>
          <w:rFonts w:eastAsia="仿宋_GB2312"/>
          <w:b/>
          <w:sz w:val="32"/>
          <w:szCs w:val="32"/>
        </w:rPr>
        <w:t>：湖南省虚拟电厂</w:t>
      </w:r>
      <w:r>
        <w:rPr>
          <w:rFonts w:hint="eastAsia" w:eastAsia="仿宋_GB2312"/>
          <w:b/>
          <w:sz w:val="32"/>
          <w:szCs w:val="32"/>
          <w:lang w:val="en-US" w:eastAsia="zh-CN"/>
        </w:rPr>
        <w:t>市场注册</w:t>
      </w:r>
      <w:r>
        <w:rPr>
          <w:rFonts w:eastAsia="仿宋_GB2312"/>
          <w:b/>
          <w:sz w:val="32"/>
          <w:szCs w:val="32"/>
        </w:rPr>
        <w:t>资料模板</w:t>
      </w:r>
    </w:p>
    <w:p>
      <w:pPr>
        <w:adjustRightInd w:val="0"/>
        <w:snapToGrid w:val="0"/>
        <w:spacing w:line="580" w:lineRule="exact"/>
        <w:jc w:val="center"/>
        <w:rPr>
          <w:rFonts w:eastAsia="仿宋_GB2312"/>
          <w:bCs/>
          <w:sz w:val="44"/>
          <w:szCs w:val="44"/>
        </w:rPr>
      </w:pPr>
    </w:p>
    <w:p>
      <w:pPr>
        <w:adjustRightInd w:val="0"/>
        <w:snapToGrid w:val="0"/>
        <w:spacing w:line="580" w:lineRule="exact"/>
        <w:jc w:val="center"/>
        <w:outlineLvl w:val="9"/>
        <w:rPr>
          <w:rFonts w:eastAsia="方正仿宋_GBK"/>
          <w:b/>
          <w:sz w:val="32"/>
          <w:szCs w:val="32"/>
        </w:rPr>
      </w:pPr>
      <w:r>
        <w:rPr>
          <w:rFonts w:eastAsia="仿宋_GB2312"/>
          <w:b/>
          <w:sz w:val="32"/>
          <w:szCs w:val="32"/>
        </w:rPr>
        <w:t>表1 湖南省虚拟电厂</w:t>
      </w:r>
      <w:r>
        <w:rPr>
          <w:rFonts w:hint="eastAsia" w:eastAsia="仿宋_GB2312"/>
          <w:b/>
          <w:sz w:val="32"/>
          <w:szCs w:val="32"/>
          <w:lang w:val="en-US" w:eastAsia="zh-CN"/>
        </w:rPr>
        <w:t>市场准入</w:t>
      </w:r>
      <w:r>
        <w:rPr>
          <w:rFonts w:eastAsia="仿宋_GB2312"/>
          <w:b/>
          <w:sz w:val="32"/>
          <w:szCs w:val="32"/>
        </w:rPr>
        <w:t>审核清单</w:t>
      </w:r>
    </w:p>
    <w:tbl>
      <w:tblPr>
        <w:tblStyle w:val="14"/>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1028"/>
        <w:gridCol w:w="6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1102"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聚合类型</w:t>
            </w: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序号</w:t>
            </w:r>
          </w:p>
        </w:tc>
        <w:tc>
          <w:tcPr>
            <w:tcW w:w="6589"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资料名称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102" w:type="dxa"/>
            <w:vMerge w:val="restart"/>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虚拟电厂</w:t>
            </w: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1</w:t>
            </w:r>
          </w:p>
        </w:tc>
        <w:tc>
          <w:tcPr>
            <w:tcW w:w="6589"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2</w:t>
            </w:r>
          </w:p>
        </w:tc>
        <w:tc>
          <w:tcPr>
            <w:tcW w:w="6589"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银行开户许可证信息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3</w:t>
            </w:r>
          </w:p>
        </w:tc>
        <w:tc>
          <w:tcPr>
            <w:tcW w:w="6589"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法定代表人身份证、授权委托书、授权委托人身份证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4</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交易平台使用协议、同意公示声明、信用承诺书、风险告知书、入市协议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5</w:t>
            </w:r>
          </w:p>
        </w:tc>
        <w:tc>
          <w:tcPr>
            <w:tcW w:w="6589"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虚拟电厂接入证明（省供服中心证明）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6</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技术支持系统接入新型电力负荷管理系统证明、具备对聚合资源的调节和控制能力资质证明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7</w:t>
            </w:r>
          </w:p>
        </w:tc>
        <w:tc>
          <w:tcPr>
            <w:tcW w:w="6589"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虚拟电厂聚合主体清单、聚合主体内部可调节资源/设备表（参考《湖南省虚拟电厂管理工作细则》）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8</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运营商的售电资质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9</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其他（视情况补充）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102"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虚拟电厂（聚合负荷类资源需额外提供）</w:t>
            </w: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1</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若参与市场化需求响应交易，参考需求响应方案提供相关资料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1102" w:type="dxa"/>
            <w:vMerge w:val="restart"/>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虚拟电厂（聚合发电类资源需额外提供）</w:t>
            </w: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1</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分布式资源项目备案文件、购售电合同、并网调度协议/负荷确认协议、</w:t>
            </w:r>
            <w:bookmarkStart w:id="15" w:name="_GoBack"/>
            <w:bookmarkEnd w:id="15"/>
            <w:r>
              <w:rPr>
                <w:rFonts w:hint="eastAsia" w:eastAsia="方正仿宋_GBK"/>
                <w:sz w:val="18"/>
                <w:szCs w:val="18"/>
                <w:lang w:val="en-US" w:eastAsia="zh-CN"/>
              </w:rPr>
              <w:t>虚拟电厂代理服务协议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1102" w:type="dxa"/>
            <w:vMerge w:val="continue"/>
            <w:noWrap w:val="0"/>
            <w:vAlign w:val="center"/>
          </w:tcPr>
          <w:p>
            <w:pPr>
              <w:widowControl/>
              <w:spacing w:line="10" w:lineRule="atLeast"/>
              <w:jc w:val="center"/>
              <w:rPr>
                <w:rFonts w:hint="eastAsia" w:eastAsia="方正仿宋_GBK"/>
                <w:sz w:val="18"/>
                <w:szCs w:val="18"/>
                <w:lang w:val="en-US" w:eastAsia="zh-CN"/>
              </w:rPr>
            </w:pPr>
          </w:p>
        </w:tc>
        <w:tc>
          <w:tcPr>
            <w:tcW w:w="1028" w:type="dxa"/>
            <w:noWrap w:val="0"/>
            <w:vAlign w:val="center"/>
          </w:tcPr>
          <w:p>
            <w:pPr>
              <w:widowControl/>
              <w:spacing w:line="10" w:lineRule="atLeast"/>
              <w:jc w:val="center"/>
              <w:rPr>
                <w:rFonts w:hint="eastAsia" w:eastAsia="方正仿宋_GBK"/>
                <w:sz w:val="18"/>
                <w:szCs w:val="18"/>
                <w:lang w:val="en-US" w:eastAsia="zh-CN"/>
              </w:rPr>
            </w:pPr>
            <w:r>
              <w:rPr>
                <w:rFonts w:hint="eastAsia" w:eastAsia="方正仿宋_GBK"/>
                <w:sz w:val="18"/>
                <w:szCs w:val="18"/>
                <w:lang w:val="en-US" w:eastAsia="zh-CN"/>
              </w:rPr>
              <w:t>2</w:t>
            </w:r>
          </w:p>
        </w:tc>
        <w:tc>
          <w:tcPr>
            <w:tcW w:w="6589" w:type="dxa"/>
            <w:noWrap w:val="0"/>
            <w:vAlign w:val="center"/>
          </w:tcPr>
          <w:p>
            <w:pPr>
              <w:widowControl/>
              <w:spacing w:line="10" w:lineRule="atLeast"/>
              <w:jc w:val="center"/>
              <w:rPr>
                <w:rFonts w:hint="default" w:eastAsia="方正仿宋_GBK"/>
                <w:sz w:val="18"/>
                <w:szCs w:val="18"/>
                <w:lang w:val="en-US" w:eastAsia="zh-CN"/>
              </w:rPr>
            </w:pPr>
            <w:r>
              <w:rPr>
                <w:rFonts w:hint="eastAsia" w:eastAsia="方正仿宋_GBK"/>
                <w:sz w:val="18"/>
                <w:szCs w:val="18"/>
                <w:lang w:val="en-US" w:eastAsia="zh-CN"/>
              </w:rPr>
              <w:t>若</w:t>
            </w:r>
            <w:r>
              <w:rPr>
                <w:rFonts w:hint="eastAsia" w:eastAsia="方正仿宋_GBK"/>
                <w:sz w:val="18"/>
                <w:szCs w:val="18"/>
                <w:lang w:eastAsia="zh-CN"/>
              </w:rPr>
              <w:t>参与绿电交易，需额外提供国家可再生能源发电项目信息管理平台建档立卡</w:t>
            </w:r>
            <w:r>
              <w:rPr>
                <w:rFonts w:hint="eastAsia" w:eastAsia="方正仿宋_GBK"/>
                <w:sz w:val="18"/>
                <w:szCs w:val="18"/>
                <w:lang w:val="en-US" w:eastAsia="zh-CN"/>
              </w:rPr>
              <w:t>信息</w:t>
            </w:r>
            <w:r>
              <w:rPr>
                <w:rFonts w:hint="eastAsia" w:eastAsia="方正仿宋_GBK"/>
                <w:sz w:val="18"/>
                <w:szCs w:val="18"/>
                <w:lang w:eastAsia="zh-CN"/>
              </w:rPr>
              <w:t>、企业/个人参与绿电交易承诺书</w:t>
            </w:r>
          </w:p>
        </w:tc>
      </w:tr>
    </w:tbl>
    <w:p>
      <w:pPr>
        <w:rPr>
          <w:rFonts w:hint="eastAsia"/>
          <w:lang w:val="en-US" w:eastAsia="zh-CN"/>
        </w:rPr>
      </w:pPr>
    </w:p>
    <w:p>
      <w:pPr>
        <w:pStyle w:val="2"/>
      </w:pPr>
    </w:p>
    <w:p/>
    <w:p>
      <w:pPr>
        <w:pStyle w:val="2"/>
      </w:pPr>
    </w:p>
    <w:p/>
    <w:p>
      <w:pPr>
        <w:pStyle w:val="2"/>
      </w:pPr>
    </w:p>
    <w:p>
      <w:pPr>
        <w:adjustRightInd w:val="0"/>
        <w:snapToGrid w:val="0"/>
        <w:spacing w:line="580" w:lineRule="exact"/>
        <w:outlineLvl w:val="0"/>
        <w:rPr>
          <w:rFonts w:hint="eastAsia" w:eastAsia="仿宋_GB2312"/>
          <w:b/>
          <w:sz w:val="32"/>
          <w:szCs w:val="32"/>
          <w:lang w:eastAsia="zh-CN"/>
        </w:rPr>
      </w:pPr>
      <w:r>
        <w:rPr>
          <w:rFonts w:eastAsia="仿宋_GB2312"/>
          <w:b/>
          <w:sz w:val="32"/>
          <w:szCs w:val="32"/>
        </w:rPr>
        <w:t>附件</w:t>
      </w:r>
      <w:r>
        <w:rPr>
          <w:rFonts w:hint="eastAsia" w:eastAsia="仿宋_GB2312"/>
          <w:b/>
          <w:sz w:val="32"/>
          <w:szCs w:val="32"/>
          <w:lang w:val="en-US" w:eastAsia="zh-CN"/>
        </w:rPr>
        <w:t>2</w:t>
      </w:r>
      <w:r>
        <w:rPr>
          <w:rFonts w:eastAsia="仿宋_GB2312"/>
          <w:b/>
          <w:sz w:val="32"/>
          <w:szCs w:val="32"/>
        </w:rPr>
        <w:t>：</w:t>
      </w:r>
      <w:r>
        <w:rPr>
          <w:rFonts w:hint="eastAsia" w:eastAsia="仿宋_GB2312"/>
          <w:b/>
          <w:sz w:val="32"/>
          <w:szCs w:val="32"/>
        </w:rPr>
        <w:t>虚拟电厂与分布式新能源聚合服务合同</w:t>
      </w:r>
      <w:r>
        <w:rPr>
          <w:rFonts w:hint="eastAsia" w:eastAsia="仿宋_GB2312"/>
          <w:b/>
          <w:sz w:val="32"/>
          <w:szCs w:val="32"/>
          <w:lang w:eastAsia="zh-CN"/>
        </w:rPr>
        <w:t>（</w:t>
      </w:r>
      <w:r>
        <w:rPr>
          <w:rFonts w:hint="eastAsia" w:eastAsia="仿宋_GB2312"/>
          <w:b/>
          <w:sz w:val="32"/>
          <w:szCs w:val="32"/>
          <w:lang w:val="en-US" w:eastAsia="zh-CN"/>
        </w:rPr>
        <w:t>常规</w:t>
      </w:r>
      <w:r>
        <w:rPr>
          <w:rFonts w:hint="eastAsia" w:eastAsia="仿宋_GB2312"/>
          <w:b/>
          <w:sz w:val="32"/>
          <w:szCs w:val="32"/>
          <w:lang w:eastAsia="zh-CN"/>
        </w:rPr>
        <w:t>）</w:t>
      </w:r>
    </w:p>
    <w:p>
      <w:pPr>
        <w:pStyle w:val="2"/>
        <w:rPr>
          <w:rFonts w:hint="eastAsia"/>
          <w:lang w:eastAsia="zh-CN"/>
        </w:rPr>
      </w:pPr>
    </w:p>
    <w:p>
      <w:pPr>
        <w:keepNext w:val="0"/>
        <w:keepLines w:val="0"/>
        <w:widowControl/>
        <w:suppressLineNumbers w:val="0"/>
        <w:jc w:val="left"/>
      </w:pPr>
      <w:r>
        <w:rPr>
          <w:rFonts w:ascii="仿宋" w:hAnsi="仿宋" w:eastAsia="仿宋" w:cs="仿宋"/>
          <w:color w:val="000000"/>
          <w:kern w:val="0"/>
          <w:sz w:val="31"/>
          <w:szCs w:val="31"/>
          <w:lang w:val="en-US" w:eastAsia="zh-CN" w:bidi="ar"/>
        </w:rPr>
        <w:t xml:space="preserve">甲方合同编号：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乙方合同编号：</w:t>
      </w:r>
    </w:p>
    <w:p>
      <w:pPr>
        <w:spacing w:before="97" w:line="230" w:lineRule="auto"/>
        <w:ind w:left="0"/>
        <w:jc w:val="both"/>
        <w:rPr>
          <w:rFonts w:hint="eastAsia" w:ascii="仿宋" w:hAnsi="仿宋" w:eastAsia="仿宋" w:cs="仿宋"/>
          <w:sz w:val="30"/>
          <w:szCs w:val="30"/>
          <w:lang w:val="en-US" w:eastAsia="zh-CN"/>
        </w:rPr>
      </w:pPr>
    </w:p>
    <w:p>
      <w:pPr>
        <w:pStyle w:val="8"/>
        <w:spacing w:line="260" w:lineRule="auto"/>
        <w:jc w:val="both"/>
      </w:pPr>
    </w:p>
    <w:p>
      <w:pPr>
        <w:pStyle w:val="8"/>
        <w:spacing w:line="260" w:lineRule="auto"/>
        <w:jc w:val="both"/>
      </w:pPr>
    </w:p>
    <w:p>
      <w:pPr>
        <w:pStyle w:val="8"/>
        <w:spacing w:line="260" w:lineRule="auto"/>
        <w:jc w:val="both"/>
      </w:pPr>
    </w:p>
    <w:p>
      <w:pPr>
        <w:pStyle w:val="8"/>
        <w:spacing w:line="260" w:lineRule="auto"/>
        <w:jc w:val="both"/>
      </w:pPr>
    </w:p>
    <w:p>
      <w:pPr>
        <w:pStyle w:val="8"/>
        <w:spacing w:line="260" w:lineRule="auto"/>
        <w:jc w:val="both"/>
      </w:pPr>
    </w:p>
    <w:p>
      <w:pPr>
        <w:pStyle w:val="8"/>
        <w:spacing w:line="260" w:lineRule="auto"/>
        <w:jc w:val="both"/>
      </w:pPr>
    </w:p>
    <w:p>
      <w:pPr>
        <w:pStyle w:val="8"/>
        <w:spacing w:line="261" w:lineRule="auto"/>
        <w:jc w:val="both"/>
      </w:pPr>
    </w:p>
    <w:p>
      <w:pPr>
        <w:pStyle w:val="8"/>
        <w:spacing w:line="253" w:lineRule="auto"/>
        <w:jc w:val="center"/>
        <w:rPr>
          <w:rFonts w:hint="eastAsia" w:ascii="华文中宋" w:hAnsi="华文中宋" w:eastAsia="华文中宋" w:cs="Times New Roman"/>
          <w:b/>
          <w:spacing w:val="0"/>
          <w:kern w:val="2"/>
          <w:sz w:val="48"/>
          <w:szCs w:val="20"/>
          <w:lang w:val="en-US" w:eastAsia="zh-CN" w:bidi="ar-SA"/>
        </w:rPr>
      </w:pPr>
      <w:r>
        <w:rPr>
          <w:rFonts w:hint="eastAsia" w:ascii="华文中宋" w:hAnsi="华文中宋" w:eastAsia="华文中宋" w:cs="Times New Roman"/>
          <w:b/>
          <w:spacing w:val="0"/>
          <w:kern w:val="2"/>
          <w:sz w:val="48"/>
          <w:szCs w:val="20"/>
          <w:lang w:val="en-US" w:eastAsia="zh-CN" w:bidi="ar-SA"/>
        </w:rPr>
        <w:t>虚拟电厂/聚合商与分布式新能</w:t>
      </w:r>
    </w:p>
    <w:p>
      <w:pPr>
        <w:pStyle w:val="8"/>
        <w:spacing w:line="253" w:lineRule="auto"/>
        <w:jc w:val="center"/>
      </w:pPr>
      <w:r>
        <w:rPr>
          <w:rFonts w:hint="eastAsia" w:ascii="华文中宋" w:hAnsi="华文中宋" w:eastAsia="华文中宋" w:cs="Times New Roman"/>
          <w:b/>
          <w:spacing w:val="0"/>
          <w:kern w:val="2"/>
          <w:sz w:val="48"/>
          <w:szCs w:val="20"/>
          <w:lang w:val="en-US" w:eastAsia="zh-CN" w:bidi="ar-SA"/>
        </w:rPr>
        <w:t>源聚合服务合同（参考文本）</w:t>
      </w:r>
    </w:p>
    <w:p>
      <w:pPr>
        <w:pStyle w:val="8"/>
        <w:spacing w:line="253" w:lineRule="auto"/>
        <w:jc w:val="both"/>
      </w:pPr>
    </w:p>
    <w:p>
      <w:pPr>
        <w:pStyle w:val="8"/>
        <w:spacing w:line="253" w:lineRule="auto"/>
        <w:jc w:val="both"/>
      </w:pPr>
    </w:p>
    <w:p>
      <w:pPr>
        <w:pStyle w:val="8"/>
        <w:spacing w:line="253" w:lineRule="auto"/>
        <w:jc w:val="both"/>
      </w:pPr>
    </w:p>
    <w:p>
      <w:pPr>
        <w:pStyle w:val="8"/>
        <w:spacing w:line="253" w:lineRule="auto"/>
        <w:jc w:val="both"/>
      </w:pPr>
    </w:p>
    <w:p>
      <w:pPr>
        <w:pStyle w:val="8"/>
        <w:spacing w:line="254" w:lineRule="auto"/>
        <w:jc w:val="both"/>
      </w:pPr>
    </w:p>
    <w:p>
      <w:pPr>
        <w:pStyle w:val="8"/>
        <w:spacing w:line="254" w:lineRule="auto"/>
        <w:jc w:val="both"/>
      </w:pPr>
    </w:p>
    <w:p>
      <w:pPr>
        <w:pStyle w:val="8"/>
        <w:spacing w:line="254" w:lineRule="auto"/>
        <w:jc w:val="both"/>
      </w:pPr>
    </w:p>
    <w:p>
      <w:pPr>
        <w:pStyle w:val="8"/>
        <w:spacing w:line="254" w:lineRule="auto"/>
        <w:jc w:val="both"/>
      </w:pPr>
    </w:p>
    <w:p>
      <w:pPr>
        <w:pStyle w:val="8"/>
        <w:spacing w:line="254" w:lineRule="auto"/>
        <w:jc w:val="both"/>
      </w:pPr>
    </w:p>
    <w:p>
      <w:pPr>
        <w:keepNext w:val="0"/>
        <w:keepLines w:val="0"/>
        <w:widowControl/>
        <w:suppressLineNumbers w:val="0"/>
        <w:jc w:val="left"/>
        <w:rPr>
          <w:rFonts w:hint="default"/>
          <w:u w:val="single"/>
          <w:lang w:val="en-US"/>
        </w:rPr>
      </w:pPr>
      <w:bookmarkStart w:id="0" w:name="OLE_LINK2"/>
      <w:r>
        <w:rPr>
          <w:rFonts w:ascii="方正小标宋_GBK" w:hAnsi="方正小标宋_GBK" w:eastAsia="方正小标宋_GBK" w:cs="方正小标宋_GBK"/>
          <w:color w:val="000000"/>
          <w:kern w:val="0"/>
          <w:sz w:val="31"/>
          <w:szCs w:val="31"/>
          <w:lang w:val="en-US" w:eastAsia="zh-CN" w:bidi="ar"/>
        </w:rPr>
        <w:t>甲方(分布式新能源)：</w:t>
      </w:r>
    </w:p>
    <w:p>
      <w:pPr>
        <w:keepNext w:val="0"/>
        <w:keepLines w:val="0"/>
        <w:widowControl/>
        <w:suppressLineNumbers w:val="0"/>
        <w:jc w:val="left"/>
      </w:pPr>
      <w:r>
        <w:rPr>
          <w:rFonts w:hint="eastAsia" w:ascii="方正小标宋_GBK" w:hAnsi="方正小标宋_GBK" w:eastAsia="方正小标宋_GBK" w:cs="方正小标宋_GBK"/>
          <w:color w:val="000000"/>
          <w:kern w:val="0"/>
          <w:sz w:val="31"/>
          <w:szCs w:val="31"/>
          <w:lang w:val="en-US" w:eastAsia="zh-CN" w:bidi="ar"/>
        </w:rPr>
        <w:t>乙方(虚拟电厂/聚合商)：</w:t>
      </w:r>
    </w:p>
    <w:p>
      <w:pPr>
        <w:snapToGrid w:val="0"/>
        <w:spacing w:line="560" w:lineRule="exact"/>
        <w:ind w:firstLine="640" w:firstLineChars="200"/>
        <w:rPr>
          <w:rFonts w:hint="eastAsia" w:ascii="华文中宋" w:hAnsi="华文中宋" w:eastAsia="华文中宋"/>
          <w:b/>
          <w:sz w:val="32"/>
          <w:u w:val="single"/>
          <w:lang w:val="en-US" w:eastAsia="zh-CN"/>
        </w:rPr>
      </w:pPr>
    </w:p>
    <w:p>
      <w:pPr>
        <w:snapToGrid w:val="0"/>
        <w:spacing w:line="560" w:lineRule="exact"/>
        <w:ind w:firstLine="640" w:firstLineChars="200"/>
        <w:jc w:val="center"/>
        <w:rPr>
          <w:rFonts w:hint="default" w:ascii="华文中宋" w:hAnsi="华文中宋" w:eastAsia="华文中宋"/>
          <w:b/>
          <w:sz w:val="32"/>
          <w:u w:val="single"/>
          <w:lang w:val="en-US" w:eastAsia="zh-CN"/>
        </w:rPr>
      </w:pPr>
      <w:r>
        <w:rPr>
          <w:rFonts w:hint="eastAsia" w:ascii="华文中宋" w:hAnsi="华文中宋" w:eastAsia="华文中宋"/>
          <w:b/>
          <w:sz w:val="32"/>
          <w:u w:val="single"/>
          <w:lang w:val="en-US" w:eastAsia="zh-CN"/>
        </w:rPr>
        <w:t xml:space="preserve">     </w:t>
      </w:r>
      <w:r>
        <w:rPr>
          <w:rFonts w:hint="eastAsia" w:ascii="华文中宋" w:hAnsi="华文中宋" w:eastAsia="华文中宋"/>
          <w:b/>
          <w:sz w:val="32"/>
          <w:u w:val="single"/>
        </w:rPr>
        <w:t>年</w:t>
      </w:r>
      <w:r>
        <w:rPr>
          <w:rFonts w:hint="eastAsia" w:ascii="华文中宋" w:hAnsi="华文中宋" w:eastAsia="华文中宋"/>
          <w:b/>
          <w:sz w:val="32"/>
          <w:u w:val="single"/>
          <w:lang w:val="en-US" w:eastAsia="zh-CN"/>
        </w:rPr>
        <w:t xml:space="preserve">    </w:t>
      </w:r>
      <w:r>
        <w:rPr>
          <w:rFonts w:hint="eastAsia" w:ascii="华文中宋" w:hAnsi="华文中宋" w:eastAsia="华文中宋"/>
          <w:b/>
          <w:sz w:val="32"/>
          <w:u w:val="single"/>
        </w:rPr>
        <w:t>月</w:t>
      </w:r>
    </w:p>
    <w:p>
      <w:pPr>
        <w:snapToGrid w:val="0"/>
        <w:spacing w:line="560" w:lineRule="exact"/>
        <w:ind w:firstLine="560" w:firstLineChars="200"/>
        <w:rPr>
          <w:rFonts w:hint="eastAsia" w:ascii="仿宋" w:hAnsi="仿宋" w:eastAsia="华文中宋"/>
          <w:sz w:val="28"/>
          <w:szCs w:val="28"/>
          <w:lang w:eastAsia="zh-CN"/>
        </w:rPr>
        <w:sectPr>
          <w:headerReference r:id="rId6" w:type="default"/>
          <w:footerReference r:id="rId7" w:type="default"/>
          <w:pgSz w:w="11906" w:h="16838"/>
          <w:pgMar w:top="1440" w:right="1800" w:bottom="1440" w:left="1800" w:header="851" w:footer="992" w:gutter="0"/>
          <w:pgNumType w:fmt="upperRoman" w:start="1"/>
          <w:cols w:space="720" w:num="1"/>
          <w:docGrid w:type="lines" w:linePitch="312" w:charSpace="0"/>
        </w:sectPr>
      </w:pPr>
    </w:p>
    <w:bookmarkEnd w:id="0"/>
    <w:p>
      <w:pPr>
        <w:snapToGrid w:val="0"/>
        <w:jc w:val="center"/>
        <w:rPr>
          <w:rFonts w:hint="eastAsia" w:ascii="华文中宋" w:hAnsi="华文中宋" w:eastAsia="华文中宋"/>
          <w:b/>
          <w:w w:val="101"/>
          <w:kern w:val="0"/>
          <w:sz w:val="32"/>
        </w:rPr>
      </w:pPr>
      <w:r>
        <w:rPr>
          <w:rFonts w:hint="eastAsia" w:ascii="华文中宋" w:hAnsi="华文中宋" w:eastAsia="华文中宋"/>
          <w:b/>
          <w:w w:val="101"/>
          <w:kern w:val="0"/>
          <w:sz w:val="32"/>
          <w:lang w:val="en-US" w:eastAsia="zh-CN"/>
        </w:rPr>
        <w:t>合同</w:t>
      </w:r>
      <w:r>
        <w:rPr>
          <w:rFonts w:hint="eastAsia" w:ascii="华文中宋" w:hAnsi="华文中宋" w:eastAsia="华文中宋"/>
          <w:b/>
          <w:w w:val="101"/>
          <w:kern w:val="0"/>
          <w:sz w:val="32"/>
        </w:rPr>
        <w:t>使用说明</w:t>
      </w:r>
    </w:p>
    <w:p>
      <w:pPr>
        <w:snapToGrid w:val="0"/>
        <w:spacing w:line="480" w:lineRule="exact"/>
        <w:ind w:firstLine="562" w:firstLineChars="200"/>
        <w:jc w:val="center"/>
        <w:rPr>
          <w:rFonts w:hint="eastAsia" w:ascii="仿宋" w:hAnsi="仿宋" w:eastAsia="仿宋"/>
          <w:b/>
          <w:sz w:val="28"/>
        </w:rPr>
      </w:pPr>
    </w:p>
    <w:p>
      <w:pPr>
        <w:snapToGrid w:val="0"/>
        <w:spacing w:line="480" w:lineRule="exact"/>
        <w:ind w:firstLine="560" w:firstLineChars="200"/>
        <w:jc w:val="both"/>
        <w:rPr>
          <w:rFonts w:hint="default" w:ascii="仿宋" w:hAnsi="仿宋" w:eastAsia="仿宋"/>
          <w:sz w:val="28"/>
          <w:lang w:val="en-US" w:eastAsia="zh-CN"/>
        </w:rPr>
      </w:pPr>
      <w:r>
        <w:rPr>
          <w:rFonts w:hint="eastAsia" w:ascii="仿宋" w:hAnsi="仿宋" w:eastAsia="仿宋"/>
          <w:sz w:val="28"/>
        </w:rPr>
        <w:t>1.本合同适用于符合</w:t>
      </w:r>
      <w:r>
        <w:rPr>
          <w:rFonts w:hint="eastAsia" w:ascii="仿宋" w:hAnsi="仿宋" w:eastAsia="仿宋"/>
          <w:sz w:val="28"/>
          <w:lang w:val="en-US" w:eastAsia="zh-CN"/>
        </w:rPr>
        <w:t>湖南</w:t>
      </w:r>
      <w:r>
        <w:rPr>
          <w:rFonts w:hint="eastAsia" w:ascii="仿宋" w:hAnsi="仿宋" w:eastAsia="仿宋"/>
          <w:sz w:val="28"/>
        </w:rPr>
        <w:t>省分布式新能源聚合参与省内</w:t>
      </w:r>
      <w:r>
        <w:rPr>
          <w:rFonts w:hint="eastAsia" w:ascii="仿宋" w:hAnsi="仿宋" w:eastAsia="仿宋"/>
          <w:sz w:val="28"/>
          <w:lang w:val="en-US" w:eastAsia="zh-CN"/>
        </w:rPr>
        <w:t>电力市场</w:t>
      </w:r>
      <w:r>
        <w:rPr>
          <w:rFonts w:hint="eastAsia" w:ascii="仿宋" w:hAnsi="仿宋" w:eastAsia="仿宋"/>
          <w:sz w:val="28"/>
        </w:rPr>
        <w:t>交易准入要求的分布式新能源和分布式新能源聚合商（以下简称“聚合商”）之间签订的</w:t>
      </w:r>
      <w:r>
        <w:rPr>
          <w:rFonts w:hint="eastAsia" w:ascii="仿宋" w:hAnsi="仿宋" w:eastAsia="仿宋"/>
          <w:sz w:val="28"/>
          <w:lang w:val="en-US" w:eastAsia="zh-CN"/>
        </w:rPr>
        <w:t>电能量</w:t>
      </w:r>
      <w:r>
        <w:rPr>
          <w:rFonts w:hint="eastAsia" w:ascii="仿宋" w:hAnsi="仿宋" w:eastAsia="仿宋"/>
          <w:sz w:val="28"/>
        </w:rPr>
        <w:t>合同。</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2</w:t>
      </w:r>
      <w:r>
        <w:rPr>
          <w:rFonts w:hint="eastAsia" w:ascii="仿宋" w:hAnsi="仿宋" w:eastAsia="仿宋"/>
          <w:sz w:val="28"/>
        </w:rPr>
        <w:t>.如无特别说明，本合同所有电力市场专业名词均与当前执行的市场规则一致</w:t>
      </w:r>
      <w:r>
        <w:rPr>
          <w:rFonts w:hint="eastAsia" w:ascii="仿宋" w:hAnsi="仿宋" w:eastAsia="仿宋"/>
          <w:sz w:val="28"/>
          <w:lang w:val="zh-CN"/>
        </w:rPr>
        <w:t>。</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3.</w:t>
      </w:r>
      <w:r>
        <w:rPr>
          <w:rFonts w:hint="eastAsia" w:ascii="仿宋" w:hAnsi="仿宋" w:eastAsia="仿宋"/>
          <w:sz w:val="28"/>
          <w:lang w:val="zh-CN"/>
        </w:rPr>
        <w:t>本合同中成交电能量价格均指市场化交易成交电价，不含上网环节线损费用、输配电费、系统运行费用、政府性基金及附加。</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4.本合同中有关空</w:t>
      </w:r>
      <w:r>
        <w:rPr>
          <w:rFonts w:hint="default" w:ascii="仿宋" w:hAnsi="仿宋" w:eastAsia="仿宋"/>
          <w:sz w:val="28"/>
          <w:lang w:val="en-US" w:eastAsia="zh-CN"/>
        </w:rPr>
        <w:t>格的内</w:t>
      </w:r>
      <w:r>
        <w:rPr>
          <w:rFonts w:hint="eastAsia" w:ascii="仿宋" w:hAnsi="仿宋" w:eastAsia="仿宋"/>
          <w:sz w:val="28"/>
          <w:lang w:val="en-US" w:eastAsia="zh-CN"/>
        </w:rPr>
        <w:t>容由</w:t>
      </w:r>
      <w:r>
        <w:rPr>
          <w:rFonts w:hint="default" w:ascii="仿宋" w:hAnsi="仿宋" w:eastAsia="仿宋"/>
          <w:sz w:val="28"/>
          <w:lang w:val="en-US" w:eastAsia="zh-CN"/>
        </w:rPr>
        <w:t>合同各方约定或据实填写，</w:t>
      </w:r>
      <w:r>
        <w:rPr>
          <w:rFonts w:hint="eastAsia" w:ascii="仿宋" w:hAnsi="仿宋" w:eastAsia="仿宋"/>
          <w:sz w:val="28"/>
          <w:lang w:val="en-US" w:eastAsia="zh-CN"/>
        </w:rPr>
        <w:t>空</w:t>
      </w:r>
      <w:r>
        <w:rPr>
          <w:rFonts w:hint="default" w:ascii="仿宋" w:hAnsi="仿宋" w:eastAsia="仿宋"/>
          <w:sz w:val="28"/>
          <w:lang w:val="en-US" w:eastAsia="zh-CN"/>
        </w:rPr>
        <w:t>格处没有</w:t>
      </w:r>
      <w:r>
        <w:rPr>
          <w:rFonts w:hint="eastAsia" w:ascii="仿宋" w:hAnsi="仿宋" w:eastAsia="仿宋"/>
          <w:sz w:val="28"/>
          <w:lang w:val="en-US" w:eastAsia="zh-CN"/>
        </w:rPr>
        <w:t>添加</w:t>
      </w:r>
      <w:r>
        <w:rPr>
          <w:rFonts w:hint="default" w:ascii="仿宋" w:hAnsi="仿宋" w:eastAsia="仿宋"/>
          <w:sz w:val="28"/>
          <w:lang w:val="en-US" w:eastAsia="zh-CN"/>
        </w:rPr>
        <w:t>内</w:t>
      </w:r>
      <w:r>
        <w:rPr>
          <w:rFonts w:hint="eastAsia" w:ascii="仿宋" w:hAnsi="仿宋" w:eastAsia="仿宋"/>
          <w:sz w:val="28"/>
          <w:lang w:val="en-US" w:eastAsia="zh-CN"/>
        </w:rPr>
        <w:t>容</w:t>
      </w:r>
      <w:r>
        <w:rPr>
          <w:rFonts w:hint="default" w:ascii="仿宋" w:hAnsi="仿宋" w:eastAsia="仿宋"/>
          <w:sz w:val="28"/>
          <w:lang w:val="en-US" w:eastAsia="zh-CN"/>
        </w:rPr>
        <w:t>的，请填写“无”或</w:t>
      </w:r>
      <w:r>
        <w:rPr>
          <w:rFonts w:hint="eastAsia" w:ascii="仿宋" w:hAnsi="仿宋" w:eastAsia="仿宋"/>
          <w:sz w:val="28"/>
          <w:lang w:val="en-US" w:eastAsia="zh-CN"/>
        </w:rPr>
        <w:t>划</w:t>
      </w:r>
      <w:r>
        <w:rPr>
          <w:rFonts w:hint="default" w:ascii="仿宋" w:hAnsi="仿宋" w:eastAsia="仿宋"/>
          <w:sz w:val="28"/>
          <w:lang w:val="en-US" w:eastAsia="zh-CN"/>
        </w:rPr>
        <w:t>“/”。本合同中双方</w:t>
      </w:r>
      <w:r>
        <w:rPr>
          <w:rFonts w:hint="eastAsia" w:ascii="仿宋" w:hAnsi="仿宋" w:eastAsia="仿宋"/>
          <w:sz w:val="28"/>
          <w:lang w:val="en-US" w:eastAsia="zh-CN"/>
        </w:rPr>
        <w:t>做</w:t>
      </w:r>
      <w:r>
        <w:rPr>
          <w:rFonts w:hint="default" w:ascii="仿宋" w:hAnsi="仿宋" w:eastAsia="仿宋"/>
          <w:sz w:val="28"/>
          <w:lang w:val="en-US" w:eastAsia="zh-CN"/>
        </w:rPr>
        <w:t>出的市场交易约定需</w:t>
      </w:r>
      <w:r>
        <w:rPr>
          <w:rFonts w:hint="eastAsia" w:ascii="仿宋" w:hAnsi="仿宋" w:eastAsia="仿宋"/>
          <w:sz w:val="28"/>
          <w:lang w:val="en-US" w:eastAsia="zh-CN"/>
        </w:rPr>
        <w:t>符</w:t>
      </w:r>
      <w:r>
        <w:rPr>
          <w:rFonts w:hint="default" w:ascii="仿宋" w:hAnsi="仿宋" w:eastAsia="仿宋"/>
          <w:sz w:val="28"/>
          <w:lang w:val="en-US" w:eastAsia="zh-CN"/>
        </w:rPr>
        <w:t>合</w:t>
      </w:r>
      <w:r>
        <w:rPr>
          <w:rFonts w:hint="eastAsia" w:ascii="仿宋" w:hAnsi="仿宋" w:eastAsia="仿宋"/>
          <w:sz w:val="28"/>
          <w:lang w:val="en-US" w:eastAsia="zh-CN"/>
        </w:rPr>
        <w:t>湖南</w:t>
      </w:r>
      <w:r>
        <w:rPr>
          <w:rFonts w:hint="default" w:ascii="仿宋" w:hAnsi="仿宋" w:eastAsia="仿宋"/>
          <w:sz w:val="28"/>
          <w:lang w:val="en-US" w:eastAsia="zh-CN"/>
        </w:rPr>
        <w:t>省电力交易市场相关规则，双方对本合同内</w:t>
      </w:r>
      <w:r>
        <w:rPr>
          <w:rFonts w:hint="eastAsia" w:ascii="仿宋" w:hAnsi="仿宋" w:eastAsia="仿宋"/>
          <w:sz w:val="28"/>
          <w:lang w:val="en-US" w:eastAsia="zh-CN"/>
        </w:rPr>
        <w:t>容做</w:t>
      </w:r>
      <w:r>
        <w:rPr>
          <w:rFonts w:hint="default" w:ascii="仿宋" w:hAnsi="仿宋" w:eastAsia="仿宋"/>
          <w:sz w:val="28"/>
          <w:lang w:val="en-US" w:eastAsia="zh-CN"/>
        </w:rPr>
        <w:t>出违</w:t>
      </w:r>
      <w:r>
        <w:rPr>
          <w:rFonts w:hint="eastAsia" w:ascii="仿宋" w:hAnsi="仿宋" w:eastAsia="仿宋"/>
          <w:sz w:val="28"/>
          <w:lang w:val="en-US" w:eastAsia="zh-CN"/>
        </w:rPr>
        <w:t>背</w:t>
      </w:r>
      <w:r>
        <w:rPr>
          <w:rFonts w:hint="default" w:ascii="仿宋" w:hAnsi="仿宋" w:eastAsia="仿宋"/>
          <w:sz w:val="28"/>
          <w:lang w:val="en-US" w:eastAsia="zh-CN"/>
        </w:rPr>
        <w:t>或</w:t>
      </w:r>
      <w:r>
        <w:rPr>
          <w:rFonts w:hint="eastAsia" w:ascii="仿宋" w:hAnsi="仿宋" w:eastAsia="仿宋"/>
          <w:sz w:val="28"/>
          <w:lang w:val="en-US" w:eastAsia="zh-CN"/>
        </w:rPr>
        <w:t>超</w:t>
      </w:r>
      <w:r>
        <w:rPr>
          <w:rFonts w:hint="default" w:ascii="仿宋" w:hAnsi="仿宋" w:eastAsia="仿宋"/>
          <w:sz w:val="28"/>
          <w:lang w:val="en-US" w:eastAsia="zh-CN"/>
        </w:rPr>
        <w:t>出市场规则的约定均</w:t>
      </w:r>
      <w:r>
        <w:rPr>
          <w:rFonts w:hint="eastAsia" w:ascii="仿宋" w:hAnsi="仿宋" w:eastAsia="仿宋"/>
          <w:sz w:val="28"/>
          <w:lang w:val="en-US" w:eastAsia="zh-CN"/>
        </w:rPr>
        <w:t>属</w:t>
      </w:r>
      <w:r>
        <w:rPr>
          <w:rFonts w:hint="default" w:ascii="仿宋" w:hAnsi="仿宋" w:eastAsia="仿宋"/>
          <w:sz w:val="28"/>
          <w:lang w:val="en-US" w:eastAsia="zh-CN"/>
        </w:rPr>
        <w:t>于</w:t>
      </w:r>
      <w:r>
        <w:rPr>
          <w:rFonts w:hint="eastAsia" w:ascii="仿宋" w:hAnsi="仿宋" w:eastAsia="仿宋"/>
          <w:sz w:val="28"/>
          <w:lang w:val="en-US" w:eastAsia="zh-CN"/>
        </w:rPr>
        <w:t>虚假</w:t>
      </w:r>
      <w:r>
        <w:rPr>
          <w:rFonts w:hint="default" w:ascii="仿宋" w:hAnsi="仿宋" w:eastAsia="仿宋"/>
          <w:sz w:val="28"/>
          <w:lang w:val="en-US" w:eastAsia="zh-CN"/>
        </w:rPr>
        <w:t>承</w:t>
      </w:r>
      <w:r>
        <w:rPr>
          <w:rFonts w:hint="eastAsia" w:ascii="仿宋" w:hAnsi="仿宋" w:eastAsia="仿宋"/>
          <w:sz w:val="28"/>
          <w:lang w:val="en-US" w:eastAsia="zh-CN"/>
        </w:rPr>
        <w:t>诺</w:t>
      </w:r>
      <w:r>
        <w:rPr>
          <w:rFonts w:hint="default" w:ascii="仿宋" w:hAnsi="仿宋" w:eastAsia="仿宋"/>
          <w:sz w:val="28"/>
          <w:lang w:val="en-US" w:eastAsia="zh-CN"/>
        </w:rPr>
        <w:t>。</w:t>
      </w:r>
    </w:p>
    <w:p>
      <w:pPr>
        <w:snapToGrid w:val="0"/>
        <w:spacing w:line="480" w:lineRule="exact"/>
        <w:ind w:firstLine="560" w:firstLineChars="200"/>
        <w:jc w:val="both"/>
        <w:rPr>
          <w:rFonts w:hint="default" w:ascii="仿宋" w:hAnsi="仿宋" w:eastAsia="仿宋"/>
          <w:sz w:val="28"/>
          <w:lang w:val="en-US" w:eastAsia="zh-CN"/>
        </w:rPr>
      </w:pPr>
      <w:r>
        <w:rPr>
          <w:rFonts w:hint="eastAsia" w:ascii="仿宋" w:hAnsi="仿宋" w:eastAsia="仿宋"/>
          <w:sz w:val="28"/>
          <w:lang w:val="en-US" w:eastAsia="zh-CN"/>
        </w:rPr>
        <w:t>5.</w:t>
      </w:r>
      <w:r>
        <w:rPr>
          <w:rFonts w:hint="default" w:ascii="仿宋" w:hAnsi="仿宋" w:eastAsia="仿宋"/>
          <w:sz w:val="28"/>
          <w:lang w:val="en-US" w:eastAsia="zh-CN"/>
        </w:rPr>
        <w:t>如法律、法规发生变化或</w:t>
      </w:r>
      <w:r>
        <w:rPr>
          <w:rFonts w:hint="eastAsia" w:ascii="仿宋" w:hAnsi="仿宋" w:eastAsia="仿宋"/>
          <w:sz w:val="28"/>
          <w:lang w:val="en-US" w:eastAsia="zh-CN"/>
        </w:rPr>
        <w:t>者政府部门</w:t>
      </w:r>
      <w:r>
        <w:rPr>
          <w:rFonts w:hint="default" w:ascii="仿宋" w:hAnsi="仿宋" w:eastAsia="仿宋"/>
          <w:sz w:val="28"/>
          <w:lang w:val="en-US" w:eastAsia="zh-CN"/>
        </w:rPr>
        <w:t>出</w:t>
      </w:r>
      <w:r>
        <w:rPr>
          <w:rFonts w:hint="eastAsia" w:ascii="仿宋" w:hAnsi="仿宋" w:eastAsia="仿宋"/>
          <w:sz w:val="28"/>
          <w:lang w:val="en-US" w:eastAsia="zh-CN"/>
        </w:rPr>
        <w:t>台新</w:t>
      </w:r>
      <w:r>
        <w:rPr>
          <w:rFonts w:hint="default" w:ascii="仿宋" w:hAnsi="仿宋" w:eastAsia="仿宋"/>
          <w:sz w:val="28"/>
          <w:lang w:val="en-US" w:eastAsia="zh-CN"/>
        </w:rPr>
        <w:t>的规定、规则，本合同内</w:t>
      </w:r>
      <w:r>
        <w:rPr>
          <w:rFonts w:hint="eastAsia" w:ascii="仿宋" w:hAnsi="仿宋" w:eastAsia="仿宋"/>
          <w:sz w:val="28"/>
          <w:lang w:val="en-US" w:eastAsia="zh-CN"/>
        </w:rPr>
        <w:t>容</w:t>
      </w:r>
      <w:r>
        <w:rPr>
          <w:rFonts w:hint="default" w:ascii="仿宋" w:hAnsi="仿宋" w:eastAsia="仿宋"/>
          <w:sz w:val="28"/>
          <w:lang w:val="en-US" w:eastAsia="zh-CN"/>
        </w:rPr>
        <w:t>应相应修改或补充。合同各方应</w:t>
      </w:r>
      <w:r>
        <w:rPr>
          <w:rFonts w:hint="eastAsia" w:ascii="仿宋" w:hAnsi="仿宋" w:eastAsia="仿宋"/>
          <w:sz w:val="28"/>
          <w:lang w:val="en-US" w:eastAsia="zh-CN"/>
        </w:rPr>
        <w:t>遵从</w:t>
      </w:r>
      <w:r>
        <w:rPr>
          <w:rFonts w:hint="default" w:ascii="仿宋" w:hAnsi="仿宋" w:eastAsia="仿宋"/>
          <w:sz w:val="28"/>
          <w:lang w:val="en-US" w:eastAsia="zh-CN"/>
        </w:rPr>
        <w:t>其规定。</w:t>
      </w:r>
    </w:p>
    <w:p>
      <w:pPr>
        <w:rPr>
          <w:rFonts w:hint="eastAsia" w:ascii="仿宋" w:hAnsi="仿宋" w:eastAsia="仿宋"/>
          <w:sz w:val="28"/>
          <w:lang w:val="zh-CN" w:eastAsia="zh-CN"/>
        </w:rPr>
      </w:pPr>
      <w:r>
        <w:rPr>
          <w:rFonts w:hint="eastAsia" w:ascii="仿宋" w:hAnsi="仿宋" w:eastAsia="仿宋"/>
          <w:sz w:val="28"/>
          <w:lang w:val="zh-CN" w:eastAsia="zh-CN"/>
        </w:rPr>
        <w:br w:type="page"/>
      </w:r>
    </w:p>
    <w:p>
      <w:pPr>
        <w:snapToGrid w:val="0"/>
        <w:spacing w:line="480" w:lineRule="exact"/>
        <w:ind w:firstLine="560" w:firstLineChars="200"/>
        <w:jc w:val="both"/>
        <w:rPr>
          <w:rFonts w:hint="default" w:ascii="仿宋" w:hAnsi="仿宋" w:eastAsia="仿宋"/>
          <w:sz w:val="28"/>
          <w:lang w:val="en-US" w:eastAsia="zh-CN"/>
        </w:rPr>
      </w:pPr>
    </w:p>
    <w:sdt>
      <w:sdtPr>
        <w:rPr>
          <w:rFonts w:hint="eastAsia" w:ascii="仿宋" w:hAnsi="仿宋" w:eastAsia="仿宋" w:cs="仿宋"/>
          <w:sz w:val="32"/>
          <w:szCs w:val="36"/>
        </w:rPr>
        <w:id w:val="147465208"/>
        <w15:color w:val="DBDBDB"/>
        <w:docPartObj>
          <w:docPartGallery w:val="Table of Contents"/>
          <w:docPartUnique/>
        </w:docPartObj>
      </w:sdtPr>
      <w:sdtEndPr>
        <w:rPr>
          <w:rFonts w:hint="eastAsia" w:ascii="华文中宋" w:hAnsi="华文中宋" w:eastAsia="华文中宋" w:cs="Times New Roman"/>
          <w:spacing w:val="0"/>
          <w:kern w:val="2"/>
          <w:sz w:val="21"/>
          <w:szCs w:val="20"/>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sz w:val="32"/>
              <w:szCs w:val="36"/>
            </w:rPr>
          </w:pPr>
          <w:r>
            <w:rPr>
              <w:rFonts w:hint="eastAsia" w:ascii="仿宋" w:hAnsi="仿宋" w:eastAsia="仿宋" w:cs="仿宋"/>
              <w:sz w:val="32"/>
              <w:szCs w:val="36"/>
            </w:rPr>
            <w:t>目录</w:t>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TOC \o "1-1" \h \u </w:instrText>
          </w:r>
          <w:r>
            <w:rPr>
              <w:rFonts w:hint="eastAsia" w:ascii="仿宋" w:hAnsi="仿宋" w:eastAsia="仿宋" w:cs="仿宋"/>
              <w:spacing w:val="0"/>
              <w:kern w:val="2"/>
              <w:sz w:val="28"/>
              <w:szCs w:val="28"/>
              <w:lang w:val="en-US" w:eastAsia="zh-CN" w:bidi="ar-SA"/>
            </w:rPr>
            <w:fldChar w:fldCharType="separate"/>
          </w: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_Toc32324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第一章 双方陈述</w:t>
          </w:r>
          <w:r>
            <w:rPr>
              <w:sz w:val="28"/>
              <w:szCs w:val="28"/>
            </w:rPr>
            <w:tab/>
          </w:r>
          <w:r>
            <w:rPr>
              <w:sz w:val="28"/>
              <w:szCs w:val="28"/>
            </w:rPr>
            <w:fldChar w:fldCharType="begin"/>
          </w:r>
          <w:r>
            <w:rPr>
              <w:sz w:val="28"/>
              <w:szCs w:val="28"/>
            </w:rPr>
            <w:instrText xml:space="preserve"> PAGEREF _Toc32324 \h </w:instrText>
          </w:r>
          <w:r>
            <w:rPr>
              <w:sz w:val="28"/>
              <w:szCs w:val="28"/>
            </w:rPr>
            <w:fldChar w:fldCharType="separate"/>
          </w:r>
          <w:r>
            <w:rPr>
              <w:sz w:val="28"/>
              <w:szCs w:val="28"/>
            </w:rPr>
            <w:t>2</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_Toc3575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第二章 双方的权利和义务</w:t>
          </w:r>
          <w:r>
            <w:rPr>
              <w:sz w:val="28"/>
              <w:szCs w:val="28"/>
            </w:rPr>
            <w:tab/>
          </w:r>
          <w:r>
            <w:rPr>
              <w:sz w:val="28"/>
              <w:szCs w:val="28"/>
            </w:rPr>
            <w:fldChar w:fldCharType="begin"/>
          </w:r>
          <w:r>
            <w:rPr>
              <w:sz w:val="28"/>
              <w:szCs w:val="28"/>
            </w:rPr>
            <w:instrText xml:space="preserve"> PAGEREF _Toc3575 \h </w:instrText>
          </w:r>
          <w:r>
            <w:rPr>
              <w:sz w:val="28"/>
              <w:szCs w:val="28"/>
            </w:rPr>
            <w:fldChar w:fldCharType="separate"/>
          </w:r>
          <w:r>
            <w:rPr>
              <w:sz w:val="28"/>
              <w:szCs w:val="28"/>
            </w:rPr>
            <w:t>2</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_Toc30599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第三章 交易周期、电量、电价</w:t>
          </w:r>
          <w:r>
            <w:rPr>
              <w:sz w:val="28"/>
              <w:szCs w:val="28"/>
            </w:rPr>
            <w:tab/>
          </w:r>
          <w:r>
            <w:rPr>
              <w:sz w:val="28"/>
              <w:szCs w:val="28"/>
            </w:rPr>
            <w:fldChar w:fldCharType="begin"/>
          </w:r>
          <w:r>
            <w:rPr>
              <w:sz w:val="28"/>
              <w:szCs w:val="28"/>
            </w:rPr>
            <w:instrText xml:space="preserve"> PAGEREF _Toc30599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_Toc10322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第四章 计量、结算和支付</w:t>
          </w:r>
          <w:r>
            <w:rPr>
              <w:sz w:val="28"/>
              <w:szCs w:val="28"/>
            </w:rPr>
            <w:tab/>
          </w:r>
          <w:r>
            <w:rPr>
              <w:sz w:val="28"/>
              <w:szCs w:val="28"/>
            </w:rPr>
            <w:fldChar w:fldCharType="begin"/>
          </w:r>
          <w:r>
            <w:rPr>
              <w:sz w:val="28"/>
              <w:szCs w:val="28"/>
            </w:rPr>
            <w:instrText xml:space="preserve"> PAGEREF _Toc10322 \h </w:instrText>
          </w:r>
          <w:r>
            <w:rPr>
              <w:sz w:val="28"/>
              <w:szCs w:val="28"/>
            </w:rPr>
            <w:fldChar w:fldCharType="separate"/>
          </w:r>
          <w:r>
            <w:rPr>
              <w:sz w:val="28"/>
              <w:szCs w:val="28"/>
            </w:rPr>
            <w:t>4</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_Toc26417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第五章 合同终止、合同违约及赔偿</w:t>
          </w:r>
          <w:r>
            <w:rPr>
              <w:sz w:val="28"/>
              <w:szCs w:val="28"/>
            </w:rPr>
            <w:tab/>
          </w:r>
          <w:r>
            <w:rPr>
              <w:sz w:val="28"/>
              <w:szCs w:val="28"/>
            </w:rPr>
            <w:fldChar w:fldCharType="begin"/>
          </w:r>
          <w:r>
            <w:rPr>
              <w:sz w:val="28"/>
              <w:szCs w:val="28"/>
            </w:rPr>
            <w:instrText xml:space="preserve"> PAGEREF _Toc26417 \h </w:instrText>
          </w:r>
          <w:r>
            <w:rPr>
              <w:sz w:val="28"/>
              <w:szCs w:val="28"/>
            </w:rPr>
            <w:fldChar w:fldCharType="separate"/>
          </w:r>
          <w:r>
            <w:rPr>
              <w:sz w:val="28"/>
              <w:szCs w:val="28"/>
            </w:rPr>
            <w:t>5</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_Toc10692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第六章 争议解决</w:t>
          </w:r>
          <w:r>
            <w:rPr>
              <w:sz w:val="28"/>
              <w:szCs w:val="28"/>
            </w:rPr>
            <w:tab/>
          </w:r>
          <w:r>
            <w:rPr>
              <w:sz w:val="28"/>
              <w:szCs w:val="28"/>
            </w:rPr>
            <w:fldChar w:fldCharType="begin"/>
          </w:r>
          <w:r>
            <w:rPr>
              <w:sz w:val="28"/>
              <w:szCs w:val="28"/>
            </w:rPr>
            <w:instrText xml:space="preserve"> PAGEREF _Toc10692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_Toc19371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第七章 适用法律</w:t>
          </w:r>
          <w:r>
            <w:rPr>
              <w:sz w:val="28"/>
              <w:szCs w:val="28"/>
            </w:rPr>
            <w:tab/>
          </w:r>
          <w:r>
            <w:rPr>
              <w:sz w:val="28"/>
              <w:szCs w:val="28"/>
            </w:rPr>
            <w:fldChar w:fldCharType="begin"/>
          </w:r>
          <w:r>
            <w:rPr>
              <w:sz w:val="28"/>
              <w:szCs w:val="28"/>
            </w:rPr>
            <w:instrText xml:space="preserve"> PAGEREF _Toc19371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rFonts w:hint="eastAsia" w:ascii="华文中宋" w:hAnsi="华文中宋" w:eastAsia="华文中宋" w:cs="Times New Roman"/>
              <w:spacing w:val="0"/>
              <w:kern w:val="2"/>
              <w:sz w:val="21"/>
              <w:szCs w:val="20"/>
              <w:lang w:val="en-US" w:eastAsia="zh-CN" w:bidi="ar-SA"/>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_Toc13189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第八章 其他</w:t>
          </w:r>
          <w:r>
            <w:rPr>
              <w:sz w:val="28"/>
              <w:szCs w:val="28"/>
            </w:rPr>
            <w:tab/>
          </w:r>
          <w:r>
            <w:rPr>
              <w:sz w:val="28"/>
              <w:szCs w:val="28"/>
            </w:rPr>
            <w:fldChar w:fldCharType="begin"/>
          </w:r>
          <w:r>
            <w:rPr>
              <w:sz w:val="28"/>
              <w:szCs w:val="28"/>
            </w:rPr>
            <w:instrText xml:space="preserve"> PAGEREF _Toc13189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pacing w:val="0"/>
              <w:kern w:val="2"/>
              <w:sz w:val="28"/>
              <w:szCs w:val="28"/>
              <w:lang w:val="en-US" w:eastAsia="zh-CN" w:bidi="ar-SA"/>
            </w:rPr>
            <w:fldChar w:fldCharType="end"/>
          </w:r>
          <w:r>
            <w:rPr>
              <w:rFonts w:hint="eastAsia" w:ascii="仿宋" w:hAnsi="仿宋" w:eastAsia="仿宋" w:cs="仿宋"/>
              <w:spacing w:val="0"/>
              <w:kern w:val="2"/>
              <w:sz w:val="28"/>
              <w:szCs w:val="28"/>
              <w:lang w:val="en-US" w:eastAsia="zh-CN" w:bidi="ar-SA"/>
            </w:rPr>
            <w:fldChar w:fldCharType="end"/>
          </w:r>
        </w:p>
      </w:sdtContent>
    </w:sdt>
    <w:p>
      <w:pPr>
        <w:spacing w:before="120" w:after="120" w:line="288" w:lineRule="auto"/>
        <w:ind w:left="0"/>
        <w:jc w:val="center"/>
        <w:outlineLvl w:val="9"/>
        <w:rPr>
          <w:rFonts w:hint="eastAsia" w:ascii="华文中宋" w:hAnsi="华文中宋" w:eastAsia="华文中宋" w:cs="Times New Roman"/>
          <w:spacing w:val="0"/>
          <w:kern w:val="2"/>
          <w:sz w:val="21"/>
          <w:szCs w:val="20"/>
          <w:lang w:val="en-US" w:eastAsia="zh-CN" w:bidi="ar-SA"/>
        </w:rPr>
        <w:sectPr>
          <w:headerReference r:id="rId8" w:type="default"/>
          <w:footerReference r:id="rId9" w:type="default"/>
          <w:pgSz w:w="11905" w:h="16840"/>
          <w:pgNumType w:fmt="decimal" w:start="1"/>
          <w:cols w:space="720" w:num="1"/>
        </w:sectPr>
      </w:pPr>
    </w:p>
    <w:p>
      <w:pPr>
        <w:spacing w:before="120" w:after="120" w:line="288" w:lineRule="auto"/>
        <w:ind w:left="0"/>
        <w:jc w:val="center"/>
        <w:rPr>
          <w:rFonts w:hint="default" w:ascii="华文中宋" w:hAnsi="华文中宋" w:eastAsia="华文中宋" w:cs="Times New Roman"/>
          <w:b/>
          <w:spacing w:val="0"/>
          <w:kern w:val="2"/>
          <w:sz w:val="36"/>
          <w:szCs w:val="20"/>
          <w:lang w:val="en-US" w:eastAsia="zh-CN" w:bidi="ar-SA"/>
        </w:rPr>
      </w:pPr>
      <w:r>
        <w:rPr>
          <w:rFonts w:hint="eastAsia" w:ascii="华文中宋" w:hAnsi="华文中宋" w:eastAsia="华文中宋" w:cs="Times New Roman"/>
          <w:b/>
          <w:spacing w:val="0"/>
          <w:kern w:val="2"/>
          <w:sz w:val="36"/>
          <w:szCs w:val="20"/>
          <w:lang w:val="en-US" w:eastAsia="zh-CN" w:bidi="ar-SA"/>
        </w:rPr>
        <w:t>分布式光伏聚合服务合同</w:t>
      </w:r>
    </w:p>
    <w:p>
      <w:pPr>
        <w:spacing w:before="0" w:after="0" w:line="440" w:lineRule="exact"/>
        <w:ind w:left="0"/>
        <w:jc w:val="center"/>
        <w:rPr>
          <w:rFonts w:hint="eastAsia" w:ascii="华文中宋" w:hAnsi="华文中宋" w:eastAsia="华文中宋" w:cs="Times New Roman"/>
          <w:b/>
          <w:spacing w:val="0"/>
          <w:kern w:val="2"/>
          <w:sz w:val="36"/>
          <w:szCs w:val="20"/>
          <w:lang w:val="en-US" w:eastAsia="zh-CN" w:bidi="ar-SA"/>
        </w:rPr>
      </w:pPr>
    </w:p>
    <w:p>
      <w:pPr>
        <w:snapToGrid w:val="0"/>
        <w:spacing w:before="0" w:after="0" w:line="560" w:lineRule="exact"/>
        <w:ind w:left="0"/>
        <w:jc w:val="left"/>
        <w:rPr>
          <w:rFonts w:hint="eastAsia" w:ascii="仿宋" w:hAnsi="仿宋" w:eastAsia="仿宋" w:cs="Times New Roman"/>
          <w:kern w:val="2"/>
          <w:sz w:val="28"/>
          <w:szCs w:val="20"/>
          <w:u w:val="none"/>
          <w:lang w:val="en-US" w:eastAsia="zh-CN" w:bidi="ar-SA"/>
        </w:rPr>
      </w:pPr>
      <w:r>
        <w:rPr>
          <w:rFonts w:hint="eastAsia" w:ascii="仿宋" w:hAnsi="仿宋" w:eastAsia="仿宋" w:cs="Times New Roman"/>
          <w:kern w:val="2"/>
          <w:sz w:val="28"/>
          <w:szCs w:val="20"/>
          <w:lang w:val="en-US" w:eastAsia="zh-CN" w:bidi="ar-SA"/>
        </w:rPr>
        <w:t xml:space="preserve">投资方（甲方）：  </w:t>
      </w:r>
      <w:r>
        <w:rPr>
          <w:rFonts w:hint="eastAsia" w:ascii="方正小标宋_GBK" w:hAnsi="方正小标宋_GBK" w:eastAsia="方正小标宋_GBK" w:cs="方正小标宋_GBK"/>
          <w:color w:val="000000"/>
          <w:kern w:val="0"/>
          <w:sz w:val="31"/>
          <w:szCs w:val="31"/>
          <w:lang w:val="en-US" w:eastAsia="zh-CN" w:bidi="ar"/>
        </w:rPr>
        <w:t xml:space="preserve">  </w:t>
      </w:r>
    </w:p>
    <w:p>
      <w:pPr>
        <w:snapToGrid w:val="0"/>
        <w:spacing w:before="0" w:after="0" w:line="560" w:lineRule="exact"/>
        <w:ind w:left="0"/>
        <w:jc w:val="left"/>
        <w:rPr>
          <w:rFonts w:hint="eastAsia" w:ascii="仿宋" w:hAnsi="仿宋" w:eastAsia="仿宋" w:cs="Times New Roman"/>
          <w:kern w:val="2"/>
          <w:sz w:val="28"/>
          <w:szCs w:val="20"/>
          <w:u w:val="none"/>
          <w:lang w:val="en-US" w:eastAsia="zh-CN" w:bidi="ar-SA"/>
        </w:rPr>
      </w:pPr>
      <w:r>
        <w:rPr>
          <w:rFonts w:hint="eastAsia" w:ascii="仿宋" w:hAnsi="仿宋" w:eastAsia="仿宋" w:cs="Times New Roman"/>
          <w:kern w:val="2"/>
          <w:sz w:val="28"/>
          <w:szCs w:val="20"/>
          <w:lang w:val="en-US" w:eastAsia="zh-CN" w:bidi="ar-SA"/>
        </w:rPr>
        <w:t>聚合商（乙方）：</w:t>
      </w:r>
    </w:p>
    <w:p>
      <w:pPr>
        <w:snapToGrid w:val="0"/>
        <w:spacing w:before="0" w:after="0" w:line="560" w:lineRule="exact"/>
        <w:ind w:left="0"/>
        <w:jc w:val="left"/>
        <w:rPr>
          <w:rFonts w:hint="eastAsia" w:ascii="仿宋_GB2312" w:hAnsi="仿宋_GB2312" w:eastAsia="仿宋_GB2312" w:cs="仿宋_GB2312"/>
          <w:sz w:val="32"/>
          <w:szCs w:val="32"/>
        </w:rPr>
      </w:pPr>
    </w:p>
    <w:p>
      <w:pPr>
        <w:widowControl/>
        <w:snapToGrid w:val="0"/>
        <w:spacing w:before="0" w:after="0" w:line="480" w:lineRule="exact"/>
        <w:ind w:left="0" w:firstLine="560"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鉴于：</w:t>
      </w:r>
    </w:p>
    <w:p>
      <w:pPr>
        <w:widowControl/>
        <w:snapToGrid w:val="0"/>
        <w:spacing w:before="0" w:after="0" w:line="480" w:lineRule="exact"/>
        <w:ind w:left="0" w:firstLine="560"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1.甲方系合法设立并有效存续的分布式光伏投资主体，其投资建设的分布式光伏项目已完成并网验收，具备发电及参与电力市场交易的条件，并已与所在地电网企业签订正式购售电合同。</w:t>
      </w:r>
    </w:p>
    <w:p>
      <w:pPr>
        <w:widowControl/>
        <w:snapToGrid w:val="0"/>
        <w:spacing w:before="0" w:after="0" w:line="480" w:lineRule="exact"/>
        <w:ind w:left="0" w:firstLine="560"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2.乙方系合法设立并有效存续的虚拟电厂运营商，已在湖南电力交易中心有限公司完成市场注册程序，具备聚合分布式能源参与电力市场交易、提供虚拟电厂运营管理服务的资质和能力。</w:t>
      </w:r>
    </w:p>
    <w:p>
      <w:pPr>
        <w:widowControl/>
        <w:snapToGrid w:val="0"/>
        <w:spacing w:before="0" w:after="0" w:line="480" w:lineRule="exact"/>
        <w:ind w:left="0" w:firstLine="560"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3.双方根据国家有关法律、法规，依据湖南电力中长期交易规则及年度实施方案、湖南现货市场建设相关政策规则等，本着平等、自愿、公平、诚信的原则，经协商一致，签订本合同。</w:t>
      </w:r>
    </w:p>
    <w:p>
      <w:pPr>
        <w:widowControl/>
        <w:snapToGrid w:val="0"/>
        <w:spacing w:before="0" w:after="0" w:line="480" w:lineRule="exact"/>
        <w:ind w:left="0" w:firstLine="560" w:firstLineChars="200"/>
        <w:jc w:val="left"/>
        <w:rPr>
          <w:rFonts w:hint="eastAsia" w:ascii="仿宋" w:hAnsi="仿宋" w:eastAsia="仿宋" w:cs="Times New Roman"/>
          <w:kern w:val="2"/>
          <w:sz w:val="28"/>
          <w:szCs w:val="20"/>
          <w:lang w:val="en-US" w:eastAsia="zh-CN" w:bidi="ar-SA"/>
        </w:rPr>
      </w:pPr>
      <w:bookmarkStart w:id="1" w:name="_Toc2085"/>
      <w:bookmarkStart w:id="2" w:name="_Toc350634471"/>
      <w:r>
        <w:rPr>
          <w:rFonts w:hint="eastAsia" w:ascii="仿宋" w:hAnsi="仿宋" w:eastAsia="仿宋" w:cs="Times New Roman"/>
          <w:kern w:val="2"/>
          <w:sz w:val="28"/>
          <w:szCs w:val="20"/>
          <w:lang w:val="en-US" w:eastAsia="zh-CN" w:bidi="ar-SA"/>
        </w:rPr>
        <w:t>4.定义与解释</w:t>
      </w:r>
      <w:bookmarkEnd w:id="1"/>
      <w:bookmarkEnd w:id="2"/>
    </w:p>
    <w:p>
      <w:pPr>
        <w:widowControl/>
        <w:snapToGrid w:val="0"/>
        <w:spacing w:before="0" w:after="0" w:line="480" w:lineRule="exact"/>
        <w:ind w:left="0" w:firstLine="562"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电能量交易：</w:t>
      </w:r>
      <w:r>
        <w:rPr>
          <w:rFonts w:hint="eastAsia" w:ascii="仿宋" w:hAnsi="仿宋" w:eastAsia="仿宋" w:cs="Times New Roman"/>
          <w:kern w:val="2"/>
          <w:sz w:val="28"/>
          <w:szCs w:val="20"/>
          <w:lang w:val="en-US" w:eastAsia="zh-CN" w:bidi="ar-SA"/>
        </w:rPr>
        <w:t>指湖南电力中长期交易、现货交易及其他电力市场交易。</w:t>
      </w:r>
    </w:p>
    <w:p>
      <w:pPr>
        <w:widowControl/>
        <w:snapToGrid w:val="0"/>
        <w:spacing w:before="0" w:after="0" w:line="480" w:lineRule="exact"/>
        <w:ind w:left="0" w:firstLine="562"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机制电量、机制电价：</w:t>
      </w:r>
      <w:r>
        <w:rPr>
          <w:rFonts w:hint="eastAsia" w:ascii="仿宋" w:hAnsi="仿宋" w:eastAsia="仿宋" w:cs="Times New Roman"/>
          <w:kern w:val="2"/>
          <w:sz w:val="28"/>
          <w:szCs w:val="20"/>
          <w:lang w:val="en-US" w:eastAsia="zh-CN" w:bidi="ar-SA"/>
        </w:rPr>
        <w:t>指按《</w:t>
      </w:r>
      <w:r>
        <w:rPr>
          <w:rFonts w:hint="eastAsia" w:ascii="仿宋" w:hAnsi="仿宋" w:eastAsia="仿宋" w:cs="Times New Roman"/>
          <w:i w:val="0"/>
          <w:iCs w:val="0"/>
          <w:caps w:val="0"/>
          <w:spacing w:val="0"/>
          <w:kern w:val="2"/>
          <w:sz w:val="28"/>
          <w:szCs w:val="20"/>
          <w:shd w:val="clear"/>
          <w:lang w:val="en-US" w:eastAsia="zh-CN" w:bidi="ar-SA"/>
        </w:rPr>
        <w:t>湖南省深化新能源上网电价市场化改革促进新能源高质量发展实施方案</w:t>
      </w:r>
      <w:r>
        <w:rPr>
          <w:rFonts w:hint="eastAsia" w:ascii="仿宋" w:hAnsi="仿宋" w:eastAsia="仿宋" w:cs="Times New Roman"/>
          <w:kern w:val="2"/>
          <w:sz w:val="28"/>
          <w:szCs w:val="20"/>
          <w:lang w:val="en-US" w:eastAsia="zh-CN" w:bidi="ar-SA"/>
        </w:rPr>
        <w:t>》（湘发改价调〔2025〕663号）执行的纳入新能源可持续发展机制的电量及对应电价。</w:t>
      </w:r>
    </w:p>
    <w:p>
      <w:pPr>
        <w:widowControl/>
        <w:snapToGrid w:val="0"/>
        <w:spacing w:before="0" w:after="0" w:line="480" w:lineRule="exact"/>
        <w:ind w:left="0" w:firstLine="562"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非机制电量：</w:t>
      </w:r>
      <w:r>
        <w:rPr>
          <w:rFonts w:hint="eastAsia" w:ascii="仿宋" w:hAnsi="仿宋" w:eastAsia="仿宋" w:cs="Times New Roman"/>
          <w:kern w:val="2"/>
          <w:sz w:val="28"/>
          <w:szCs w:val="20"/>
          <w:lang w:val="en-US" w:eastAsia="zh-CN" w:bidi="ar-SA"/>
        </w:rPr>
        <w:t>指甲方项目上网电量扣除机制电量后的部分。</w:t>
      </w:r>
    </w:p>
    <w:p>
      <w:pPr>
        <w:widowControl/>
        <w:snapToGrid w:val="0"/>
        <w:spacing w:line="480" w:lineRule="exact"/>
        <w:ind w:left="0" w:firstLine="562" w:firstLineChars="200"/>
        <w:jc w:val="left"/>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加权平均交易电价：</w:t>
      </w:r>
      <w:r>
        <w:rPr>
          <w:rFonts w:hint="eastAsia" w:ascii="仿宋" w:hAnsi="仿宋" w:eastAsia="仿宋" w:cs="Times New Roman"/>
          <w:kern w:val="2"/>
          <w:sz w:val="28"/>
          <w:szCs w:val="20"/>
          <w:lang w:val="en-US" w:eastAsia="zh-CN" w:bidi="ar-SA"/>
        </w:rPr>
        <w:t>指乙方代理的甲方项目当月所有市场化交易电量的加权平均成交价格（不含税）。</w:t>
      </w:r>
    </w:p>
    <w:p>
      <w:pPr>
        <w:widowControl/>
        <w:snapToGrid w:val="0"/>
        <w:spacing w:line="480" w:lineRule="exact"/>
        <w:ind w:left="0" w:firstLine="560" w:firstLineChars="200"/>
        <w:jc w:val="left"/>
        <w:rPr>
          <w:rFonts w:hint="eastAsia" w:ascii="仿宋" w:hAnsi="仿宋" w:eastAsia="仿宋" w:cs="Times New Roman"/>
          <w:kern w:val="2"/>
          <w:sz w:val="28"/>
          <w:szCs w:val="20"/>
          <w:lang w:val="en-US" w:eastAsia="zh-CN" w:bidi="ar-SA"/>
        </w:rPr>
      </w:pPr>
    </w:p>
    <w:p>
      <w:pPr>
        <w:widowControl/>
        <w:snapToGrid w:val="0"/>
        <w:spacing w:line="480" w:lineRule="exact"/>
        <w:ind w:left="0" w:firstLine="560" w:firstLineChars="200"/>
        <w:jc w:val="left"/>
        <w:rPr>
          <w:rFonts w:hint="eastAsia" w:ascii="仿宋" w:hAnsi="仿宋" w:eastAsia="仿宋" w:cs="Times New Roman"/>
          <w:kern w:val="2"/>
          <w:sz w:val="28"/>
          <w:szCs w:val="20"/>
          <w:lang w:val="en-US" w:eastAsia="zh-CN" w:bidi="ar-SA"/>
        </w:rPr>
      </w:pPr>
    </w:p>
    <w:p>
      <w:pPr>
        <w:widowControl/>
        <w:snapToGrid w:val="0"/>
        <w:spacing w:line="480" w:lineRule="exact"/>
        <w:ind w:left="0" w:firstLine="560" w:firstLineChars="200"/>
        <w:jc w:val="left"/>
        <w:rPr>
          <w:rFonts w:hint="eastAsia" w:ascii="仿宋" w:hAnsi="仿宋" w:eastAsia="仿宋" w:cs="Times New Roman"/>
          <w:kern w:val="2"/>
          <w:sz w:val="28"/>
          <w:szCs w:val="20"/>
          <w:lang w:val="en-US" w:eastAsia="zh-CN" w:bidi="ar-SA"/>
        </w:rPr>
      </w:pPr>
    </w:p>
    <w:p>
      <w:pPr>
        <w:pStyle w:val="3"/>
        <w:bidi w:val="0"/>
        <w:jc w:val="center"/>
        <w:rPr>
          <w:rFonts w:hint="eastAsia"/>
          <w:lang w:val="en-US" w:eastAsia="zh-CN"/>
        </w:rPr>
      </w:pPr>
      <w:bookmarkStart w:id="3" w:name="_Toc32324"/>
      <w:r>
        <w:rPr>
          <w:rFonts w:hint="eastAsia"/>
          <w:lang w:val="en-US" w:eastAsia="zh-CN"/>
        </w:rPr>
        <w:t>第一章 双方陈述</w:t>
      </w:r>
      <w:bookmarkEnd w:id="3"/>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甲、乙双方任何一方在此向对方陈述如下：</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1.1本方为一家依法设立并合法存续的企业，有权签署并有能力履行本合同。</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1.2本方签署和履行本合同所需的一切手续（包括办理必要的政府批准、取得营业执照等）均已办理完毕并合法有效。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1.3在签署本合同时，人民法院、仲裁机构、行政机关均未做出过任何足以对本方履行本合同产生重大不利影响的判决、裁定、裁决或具体行政行为。</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1.4本方为签署本合同所需的内部授权程序均已完成，签署本合同的是本方法定代表人或授权代理人，并且本合同生效后即对双方具有法律约束力。</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1.5本方签署的合同内容符合国家有关市场交易的法律、法规以及政策等。</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1.6如国家法律、法规发生变化或者政府有关部门出台有关规定、规则，合同双方同意按照法律、法规、规定和规则予以调整和修改。</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1.7甲方承诺在同一合同周期内，仅能与一家聚合商建立聚合代理服务关系。</w:t>
      </w:r>
    </w:p>
    <w:p>
      <w:pPr>
        <w:pStyle w:val="3"/>
        <w:bidi w:val="0"/>
        <w:jc w:val="center"/>
        <w:rPr>
          <w:rFonts w:hint="eastAsia"/>
          <w:lang w:val="en-US" w:eastAsia="zh-CN"/>
        </w:rPr>
      </w:pPr>
      <w:bookmarkStart w:id="4" w:name="_Toc3575"/>
      <w:r>
        <w:rPr>
          <w:rFonts w:hint="eastAsia"/>
          <w:lang w:val="en-US" w:eastAsia="zh-CN"/>
        </w:rPr>
        <w:t>第二章 双方的权利和义务</w:t>
      </w:r>
      <w:bookmarkEnd w:id="4"/>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2.1甲方的权利包括：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2.1.1获得乙方履行本合同义务相关的信息、资料。</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2.2甲方的义务包括：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2.2.1根据预测上网电量，年度交易前，向乙方提供代理合同意向电量并在合同中明确。</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2.2.2向乙方提供与履行本合同相关的其他信息。配合乙方、电网企业及电力交易中心进行电力（电量）交易、电费结算、数据统计等工作。</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2.2.3为做好电量聚合工作，甲方需提供分布式新能源项目的发、用电数据。</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2.3乙方的权利包括：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2.3.1获得甲方提供履行本合同义务相关的信息、资料及查阅关口计量数据。</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2.3.2查阅甲方实际的电费核查联、结算单（与市场化相关部分）。</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2.3.3有权要求甲方及时通报自身的发电项目并网、转让、关停或搬迁等可能影响电力市场交易的情况。</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2.4乙方的义务包括：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2.4.1按照湖南电力市场相关规则，聚合分布式新能源参与电力市场交易，并按规定结算。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2.4.2向甲方提供真实准确的信息及资料，不得提供虚假的或误导性的信息。</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2.4.3协助甲方申请办理聚合交易、电力市场交易有关手续。</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2.4.4向甲方、电网企业及电力交易中心提供与履行本合同相关的其他信息。</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2.4.5根据有关法规支付电力交易相关费用。</w:t>
      </w:r>
    </w:p>
    <w:p>
      <w:pPr>
        <w:pStyle w:val="3"/>
        <w:bidi w:val="0"/>
        <w:jc w:val="center"/>
        <w:rPr>
          <w:rFonts w:hint="eastAsia"/>
          <w:lang w:val="en-US" w:eastAsia="zh-CN"/>
        </w:rPr>
      </w:pPr>
      <w:bookmarkStart w:id="5" w:name="_Toc30599"/>
      <w:r>
        <w:rPr>
          <w:rFonts w:hint="eastAsia"/>
          <w:lang w:val="en-US" w:eastAsia="zh-CN"/>
        </w:rPr>
        <w:t>第三章 交易周期、电量、电价</w:t>
      </w:r>
      <w:bookmarkEnd w:id="5"/>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3.1本合同执行期自</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年</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月</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日（如在此日期前未完成聚合交易，则以实际完成聚合交易日期次月1日作为合同开始执行之日）至</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年</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月</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日，最小执行周期为</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个月。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3.2甲方上网电量由乙方聚合后参加电能量交易。</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3.3收益分配方式</w:t>
      </w:r>
    </w:p>
    <w:p>
      <w:pPr>
        <w:widowControl/>
        <w:snapToGrid w:val="0"/>
        <w:spacing w:line="480" w:lineRule="exact"/>
        <w:ind w:left="0" w:firstLine="560" w:firstLineChars="200"/>
        <w:jc w:val="both"/>
        <w:rPr>
          <w:rFonts w:hint="eastAsia" w:ascii="仿宋" w:hAnsi="仿宋" w:eastAsia="仿宋" w:cs="Times New Roman"/>
          <w:kern w:val="2"/>
          <w:sz w:val="28"/>
          <w:szCs w:val="20"/>
          <w:highlight w:val="none"/>
          <w:lang w:val="en-US" w:eastAsia="zh-CN" w:bidi="ar-SA"/>
        </w:rPr>
      </w:pPr>
      <w:r>
        <w:rPr>
          <w:rFonts w:hint="eastAsia" w:ascii="仿宋" w:hAnsi="仿宋" w:eastAsia="仿宋" w:cs="Times New Roman"/>
          <w:kern w:val="2"/>
          <w:sz w:val="28"/>
          <w:szCs w:val="20"/>
          <w:highlight w:val="none"/>
          <w:lang w:val="en-US" w:eastAsia="zh-CN" w:bidi="ar-SA"/>
        </w:rPr>
        <w:t>经甲乙双方协商，选择方式</w:t>
      </w:r>
      <w:r>
        <w:rPr>
          <w:rFonts w:hint="eastAsia" w:ascii="仿宋" w:hAnsi="仿宋" w:eastAsia="仿宋" w:cs="Times New Roman"/>
          <w:kern w:val="2"/>
          <w:sz w:val="28"/>
          <w:szCs w:val="20"/>
          <w:highlight w:val="none"/>
          <w:u w:val="single"/>
          <w:lang w:val="en-US" w:eastAsia="zh-CN" w:bidi="ar-SA"/>
        </w:rPr>
        <w:t>_    _</w:t>
      </w:r>
      <w:r>
        <w:rPr>
          <w:rFonts w:hint="eastAsia" w:ascii="仿宋" w:hAnsi="仿宋" w:eastAsia="仿宋" w:cs="Times New Roman"/>
          <w:kern w:val="2"/>
          <w:sz w:val="28"/>
          <w:szCs w:val="20"/>
          <w:highlight w:val="none"/>
          <w:lang w:val="en-US" w:eastAsia="zh-CN" w:bidi="ar-SA"/>
        </w:rPr>
        <w:t>套餐。</w:t>
      </w:r>
    </w:p>
    <w:p>
      <w:pPr>
        <w:widowControl/>
        <w:snapToGrid w:val="0"/>
        <w:spacing w:line="480" w:lineRule="exact"/>
        <w:ind w:left="0" w:firstLine="560" w:firstLineChars="200"/>
        <w:jc w:val="both"/>
        <w:rPr>
          <w:rFonts w:hint="eastAsia" w:ascii="仿宋" w:hAnsi="仿宋" w:eastAsia="仿宋" w:cs="Times New Roman"/>
          <w:kern w:val="2"/>
          <w:sz w:val="28"/>
          <w:szCs w:val="20"/>
          <w:highlight w:val="none"/>
          <w:lang w:val="en-US" w:eastAsia="zh-CN" w:bidi="ar-SA"/>
        </w:rPr>
      </w:pPr>
      <w:r>
        <w:rPr>
          <w:rFonts w:hint="eastAsia" w:ascii="仿宋" w:hAnsi="仿宋" w:eastAsia="仿宋" w:cs="Times New Roman"/>
          <w:kern w:val="2"/>
          <w:sz w:val="28"/>
          <w:szCs w:val="20"/>
          <w:highlight w:val="none"/>
          <w:lang w:val="en-US" w:eastAsia="zh-CN" w:bidi="ar-SA"/>
        </w:rPr>
        <w:t>方式一：服务费套餐，其</w:t>
      </w:r>
      <w:r>
        <w:rPr>
          <w:rFonts w:hint="eastAsia" w:ascii="仿宋" w:hAnsi="仿宋" w:eastAsia="仿宋" w:cs="Times New Roman"/>
          <w:color w:val="000000"/>
          <w:spacing w:val="0"/>
          <w:kern w:val="2"/>
          <w:sz w:val="28"/>
          <w:szCs w:val="20"/>
          <w:highlight w:val="none"/>
          <w:lang w:val="en-US" w:eastAsia="zh-CN"/>
        </w:rPr>
        <w:t>聚合资源主体与虚拟电厂约定</w:t>
      </w:r>
      <w:r>
        <w:rPr>
          <w:rFonts w:hint="eastAsia" w:ascii="仿宋" w:hAnsi="仿宋" w:eastAsia="仿宋" w:cs="Times New Roman"/>
          <w:color w:val="000000"/>
          <w:spacing w:val="0"/>
          <w:kern w:val="2"/>
          <w:sz w:val="28"/>
          <w:szCs w:val="20"/>
          <w:highlight w:val="none"/>
          <w:lang w:eastAsia="zh-CN"/>
        </w:rPr>
        <w:t>的</w:t>
      </w:r>
      <w:r>
        <w:rPr>
          <w:rFonts w:hint="eastAsia" w:ascii="仿宋" w:hAnsi="仿宋" w:eastAsia="仿宋" w:cs="Times New Roman"/>
          <w:color w:val="000000"/>
          <w:spacing w:val="0"/>
          <w:kern w:val="2"/>
          <w:sz w:val="28"/>
          <w:szCs w:val="20"/>
          <w:highlight w:val="none"/>
          <w:lang w:val="en-US" w:eastAsia="zh-CN"/>
        </w:rPr>
        <w:t>代理服务价格P</w:t>
      </w:r>
      <w:r>
        <w:rPr>
          <w:rFonts w:hint="eastAsia" w:ascii="仿宋" w:hAnsi="仿宋" w:eastAsia="仿宋" w:cs="Times New Roman"/>
          <w:color w:val="000000"/>
          <w:spacing w:val="0"/>
          <w:kern w:val="2"/>
          <w:sz w:val="28"/>
          <w:szCs w:val="20"/>
          <w:highlight w:val="none"/>
          <w:vertAlign w:val="subscript"/>
          <w:lang w:val="en-US" w:eastAsia="zh-CN"/>
        </w:rPr>
        <w:t>服务</w:t>
      </w:r>
      <w:r>
        <w:rPr>
          <w:rFonts w:hint="eastAsia" w:ascii="仿宋" w:hAnsi="仿宋" w:eastAsia="仿宋" w:cs="Times New Roman"/>
          <w:color w:val="000000"/>
          <w:spacing w:val="0"/>
          <w:kern w:val="2"/>
          <w:sz w:val="28"/>
          <w:szCs w:val="20"/>
          <w:highlight w:val="none"/>
          <w:lang w:val="en-US" w:eastAsia="zh-CN"/>
        </w:rPr>
        <w:t>为</w:t>
      </w:r>
      <w:r>
        <w:rPr>
          <w:rFonts w:hint="eastAsia" w:ascii="仿宋" w:hAnsi="仿宋" w:eastAsia="仿宋" w:cs="Times New Roman"/>
          <w:kern w:val="2"/>
          <w:sz w:val="28"/>
          <w:szCs w:val="20"/>
          <w:highlight w:val="none"/>
          <w:u w:val="single"/>
          <w:lang w:val="en-US" w:eastAsia="zh-CN" w:bidi="ar-SA"/>
        </w:rPr>
        <w:t xml:space="preserve">      </w:t>
      </w:r>
      <w:r>
        <w:rPr>
          <w:rFonts w:hint="eastAsia" w:ascii="仿宋" w:hAnsi="仿宋" w:eastAsia="仿宋" w:cs="Times New Roman"/>
          <w:kern w:val="2"/>
          <w:sz w:val="28"/>
          <w:szCs w:val="20"/>
          <w:highlight w:val="none"/>
          <w:u w:val="none"/>
          <w:lang w:val="en-US" w:eastAsia="zh-CN" w:bidi="ar-SA"/>
        </w:rPr>
        <w:t>元/兆瓦时</w:t>
      </w:r>
      <w:r>
        <w:rPr>
          <w:rFonts w:hint="eastAsia" w:ascii="仿宋" w:hAnsi="仿宋" w:eastAsia="仿宋" w:cs="Times New Roman"/>
          <w:kern w:val="2"/>
          <w:sz w:val="28"/>
          <w:szCs w:val="20"/>
          <w:highlight w:val="none"/>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highlight w:val="none"/>
          <w:lang w:val="en-US" w:eastAsia="zh-CN" w:bidi="ar-SA"/>
        </w:rPr>
      </w:pPr>
      <w:r>
        <w:rPr>
          <w:rFonts w:hint="eastAsia" w:ascii="仿宋" w:hAnsi="仿宋" w:eastAsia="仿宋" w:cs="Times New Roman"/>
          <w:kern w:val="2"/>
          <w:sz w:val="28"/>
          <w:szCs w:val="20"/>
          <w:highlight w:val="none"/>
          <w:lang w:val="en-US" w:eastAsia="zh-CN" w:bidi="ar-SA"/>
        </w:rPr>
        <w:t>方式二：联动价格套餐，</w:t>
      </w:r>
      <w:r>
        <w:rPr>
          <w:rFonts w:hint="eastAsia" w:ascii="仿宋" w:hAnsi="仿宋" w:eastAsia="仿宋" w:cs="Times New Roman"/>
          <w:kern w:val="2"/>
          <w:sz w:val="28"/>
          <w:szCs w:val="20"/>
          <w:highlight w:val="none"/>
          <w:lang w:val="en-US" w:eastAsia="zh-CN"/>
        </w:rPr>
        <w:t>中长期价格系数a</w:t>
      </w:r>
      <w:r>
        <w:rPr>
          <w:rFonts w:hint="eastAsia" w:ascii="仿宋" w:hAnsi="仿宋" w:eastAsia="仿宋" w:cs="Times New Roman"/>
          <w:kern w:val="2"/>
          <w:sz w:val="28"/>
          <w:szCs w:val="20"/>
          <w:highlight w:val="none"/>
          <w:vertAlign w:val="subscript"/>
          <w:lang w:val="en-US" w:eastAsia="zh-CN"/>
        </w:rPr>
        <w:t>2</w:t>
      </w:r>
      <w:r>
        <w:rPr>
          <w:rFonts w:hint="eastAsia" w:ascii="仿宋" w:hAnsi="仿宋" w:eastAsia="仿宋" w:cs="Times New Roman"/>
          <w:kern w:val="2"/>
          <w:sz w:val="28"/>
          <w:szCs w:val="20"/>
          <w:highlight w:val="none"/>
          <w:lang w:val="en-US" w:eastAsia="zh-CN" w:bidi="ar-SA"/>
        </w:rPr>
        <w:t>为</w:t>
      </w:r>
      <w:r>
        <w:rPr>
          <w:rFonts w:hint="eastAsia" w:ascii="仿宋" w:hAnsi="仿宋" w:eastAsia="仿宋" w:cs="Times New Roman"/>
          <w:kern w:val="2"/>
          <w:sz w:val="28"/>
          <w:szCs w:val="20"/>
          <w:highlight w:val="none"/>
          <w:u w:val="single"/>
          <w:lang w:val="en-US" w:eastAsia="zh-CN" w:bidi="ar-SA"/>
        </w:rPr>
        <w:t xml:space="preserve">    </w:t>
      </w:r>
      <w:r>
        <w:rPr>
          <w:rFonts w:hint="eastAsia" w:ascii="仿宋" w:hAnsi="仿宋" w:eastAsia="仿宋" w:cs="Times New Roman"/>
          <w:kern w:val="2"/>
          <w:sz w:val="28"/>
          <w:szCs w:val="20"/>
          <w:highlight w:val="none"/>
          <w:lang w:val="en-US" w:eastAsia="zh-CN" w:bidi="ar-SA"/>
        </w:rPr>
        <w:t>。</w:t>
      </w:r>
    </w:p>
    <w:p>
      <w:pPr>
        <w:widowControl/>
        <w:snapToGrid w:val="0"/>
        <w:spacing w:line="480" w:lineRule="exact"/>
        <w:ind w:left="0" w:firstLine="560" w:firstLineChars="200"/>
        <w:jc w:val="both"/>
        <w:rPr>
          <w:rFonts w:hint="default" w:ascii="仿宋" w:hAnsi="仿宋" w:eastAsia="仿宋" w:cs="Times New Roman"/>
          <w:kern w:val="2"/>
          <w:sz w:val="28"/>
          <w:szCs w:val="20"/>
          <w:highlight w:val="none"/>
          <w:u w:val="none"/>
          <w:lang w:val="en-US" w:eastAsia="zh-CN" w:bidi="ar-SA"/>
        </w:rPr>
      </w:pPr>
      <w:r>
        <w:rPr>
          <w:rFonts w:hint="eastAsia" w:ascii="仿宋" w:hAnsi="仿宋" w:eastAsia="仿宋" w:cs="Times New Roman"/>
          <w:kern w:val="2"/>
          <w:sz w:val="28"/>
          <w:szCs w:val="20"/>
          <w:highlight w:val="none"/>
          <w:lang w:val="en-US" w:eastAsia="zh-CN" w:bidi="ar-SA"/>
        </w:rPr>
        <w:t>注：虚拟电厂服务费</w:t>
      </w:r>
      <w:r>
        <w:rPr>
          <w:rFonts w:hint="eastAsia" w:ascii="仿宋" w:hAnsi="仿宋" w:eastAsia="仿宋" w:cs="Times New Roman"/>
          <w:color w:val="000000"/>
          <w:spacing w:val="0"/>
          <w:kern w:val="2"/>
          <w:sz w:val="28"/>
          <w:szCs w:val="20"/>
          <w:highlight w:val="none"/>
          <w:lang w:val="en-US" w:eastAsia="zh-CN"/>
        </w:rPr>
        <w:t>P</w:t>
      </w:r>
      <w:r>
        <w:rPr>
          <w:rFonts w:hint="eastAsia" w:ascii="仿宋" w:hAnsi="仿宋" w:eastAsia="仿宋" w:cs="Times New Roman"/>
          <w:color w:val="000000"/>
          <w:spacing w:val="0"/>
          <w:kern w:val="2"/>
          <w:sz w:val="28"/>
          <w:szCs w:val="20"/>
          <w:highlight w:val="none"/>
          <w:vertAlign w:val="subscript"/>
          <w:lang w:val="en-US" w:eastAsia="zh-CN"/>
        </w:rPr>
        <w:t>服务</w:t>
      </w:r>
      <w:r>
        <w:rPr>
          <w:rFonts w:hint="eastAsia" w:ascii="仿宋" w:hAnsi="仿宋" w:eastAsia="仿宋" w:cs="Times New Roman"/>
          <w:kern w:val="2"/>
          <w:sz w:val="28"/>
          <w:szCs w:val="20"/>
          <w:highlight w:val="none"/>
          <w:lang w:val="en-US" w:eastAsia="zh-CN" w:bidi="ar-SA"/>
        </w:rPr>
        <w:t>不得超过20元/兆瓦时</w:t>
      </w:r>
      <w:r>
        <w:rPr>
          <w:rFonts w:hint="eastAsia" w:ascii="仿宋" w:hAnsi="仿宋" w:eastAsia="仿宋" w:cs="Times New Roman"/>
          <w:kern w:val="2"/>
          <w:sz w:val="28"/>
          <w:szCs w:val="20"/>
          <w:highlight w:val="none"/>
          <w:u w:val="none"/>
          <w:lang w:val="en-US" w:eastAsia="zh-CN" w:bidi="ar-SA"/>
        </w:rPr>
        <w:t>，联动价格套餐的中长期价格系数范围为</w:t>
      </w:r>
      <w:r>
        <w:rPr>
          <w:rFonts w:hint="eastAsia" w:ascii="仿宋" w:hAnsi="仿宋" w:eastAsia="仿宋" w:cs="Times New Roman"/>
          <w:color w:val="000000"/>
          <w:kern w:val="2"/>
          <w:sz w:val="28"/>
          <w:szCs w:val="20"/>
          <w:highlight w:val="none"/>
          <w:u w:val="none"/>
          <w:lang w:val="en-US" w:eastAsia="zh-CN"/>
        </w:rPr>
        <w:t>60%×</w:t>
      </w:r>
      <w:r>
        <w:rPr>
          <w:rFonts w:hint="eastAsia" w:ascii="仿宋" w:hAnsi="仿宋" w:eastAsia="仿宋" w:cs="Times New Roman"/>
          <w:snapToGrid w:val="0"/>
          <w:color w:val="000000"/>
          <w:kern w:val="2"/>
          <w:sz w:val="28"/>
          <w:szCs w:val="20"/>
          <w:highlight w:val="none"/>
          <w:u w:val="none"/>
          <w:lang w:val="en-US" w:eastAsia="zh-CN" w:bidi="ar-SA"/>
        </w:rPr>
        <w:t>（</w:t>
      </w:r>
      <w:r>
        <w:rPr>
          <w:rFonts w:hint="eastAsia" w:ascii="仿宋" w:hAnsi="仿宋" w:eastAsia="仿宋" w:cs="Times New Roman"/>
          <w:color w:val="000000"/>
          <w:spacing w:val="0"/>
          <w:kern w:val="2"/>
          <w:sz w:val="28"/>
          <w:szCs w:val="20"/>
          <w:highlight w:val="none"/>
          <w:u w:val="none"/>
          <w:vertAlign w:val="baseline"/>
          <w:lang w:val="en-US" w:eastAsia="zh-CN"/>
        </w:rPr>
        <w:t>1</w:t>
      </w:r>
      <w:r>
        <w:rPr>
          <w:rFonts w:hint="eastAsia" w:ascii="仿宋" w:hAnsi="仿宋" w:eastAsia="仿宋" w:cs="Times New Roman"/>
          <w:color w:val="000000"/>
          <w:kern w:val="2"/>
          <w:sz w:val="28"/>
          <w:szCs w:val="20"/>
          <w:highlight w:val="none"/>
          <w:u w:val="none"/>
          <w:lang w:val="en-US" w:eastAsia="zh-CN"/>
        </w:rPr>
        <w:t>-</w:t>
      </w:r>
      <w:r>
        <w:rPr>
          <w:rFonts w:hint="eastAsia" w:ascii="仿宋" w:hAnsi="仿宋" w:eastAsia="仿宋" w:cs="Times New Roman"/>
          <w:color w:val="000000"/>
          <w:spacing w:val="0"/>
          <w:kern w:val="2"/>
          <w:sz w:val="28"/>
          <w:szCs w:val="20"/>
          <w:highlight w:val="none"/>
          <w:u w:val="none"/>
          <w:lang w:val="en-US" w:eastAsia="zh-CN"/>
        </w:rPr>
        <w:t>该聚合资源主体机制电量比例</w:t>
      </w:r>
      <w:r>
        <w:rPr>
          <w:rFonts w:hint="eastAsia" w:ascii="仿宋" w:hAnsi="仿宋" w:eastAsia="仿宋" w:cs="Times New Roman"/>
          <w:color w:val="000000"/>
          <w:kern w:val="2"/>
          <w:sz w:val="28"/>
          <w:szCs w:val="20"/>
          <w:highlight w:val="none"/>
          <w:u w:val="none"/>
          <w:lang w:eastAsia="zh-CN"/>
        </w:rPr>
        <w:t>）</w:t>
      </w:r>
      <w:r>
        <w:rPr>
          <w:rFonts w:hint="eastAsia" w:ascii="仿宋" w:hAnsi="仿宋" w:eastAsia="仿宋" w:cs="Times New Roman"/>
          <w:color w:val="000000"/>
          <w:spacing w:val="0"/>
          <w:kern w:val="2"/>
          <w:sz w:val="28"/>
          <w:szCs w:val="20"/>
          <w:highlight w:val="none"/>
          <w:u w:val="none"/>
          <w:vertAlign w:val="baseline"/>
          <w:lang w:val="en-US" w:eastAsia="zh-CN"/>
        </w:rPr>
        <w:t>≦</w:t>
      </w:r>
      <w:r>
        <w:rPr>
          <w:rFonts w:hint="eastAsia" w:ascii="仿宋" w:hAnsi="仿宋" w:eastAsia="仿宋" w:cs="Times New Roman"/>
          <w:kern w:val="2"/>
          <w:sz w:val="28"/>
          <w:szCs w:val="20"/>
          <w:highlight w:val="none"/>
          <w:lang w:val="en-US" w:eastAsia="zh-CN"/>
        </w:rPr>
        <w:t>a</w:t>
      </w:r>
      <w:r>
        <w:rPr>
          <w:rFonts w:hint="eastAsia" w:ascii="仿宋" w:hAnsi="仿宋" w:eastAsia="仿宋" w:cs="Times New Roman"/>
          <w:kern w:val="2"/>
          <w:sz w:val="28"/>
          <w:szCs w:val="20"/>
          <w:highlight w:val="none"/>
          <w:vertAlign w:val="subscript"/>
          <w:lang w:val="en-US" w:eastAsia="zh-CN"/>
        </w:rPr>
        <w:t>2</w:t>
      </w:r>
      <w:r>
        <w:rPr>
          <w:rFonts w:hint="eastAsia" w:ascii="仿宋" w:hAnsi="仿宋" w:eastAsia="仿宋" w:cs="Times New Roman"/>
          <w:color w:val="000000"/>
          <w:spacing w:val="0"/>
          <w:kern w:val="2"/>
          <w:sz w:val="28"/>
          <w:szCs w:val="20"/>
          <w:highlight w:val="none"/>
          <w:u w:val="none"/>
          <w:vertAlign w:val="baseline"/>
          <w:lang w:val="en-US" w:eastAsia="zh-CN"/>
        </w:rPr>
        <w:t>≦100%</w:t>
      </w:r>
      <w:r>
        <w:rPr>
          <w:rFonts w:hint="eastAsia" w:ascii="仿宋" w:hAnsi="仿宋" w:eastAsia="仿宋" w:cs="Times New Roman"/>
          <w:kern w:val="2"/>
          <w:sz w:val="28"/>
          <w:szCs w:val="20"/>
          <w:highlight w:val="none"/>
          <w:u w:val="none"/>
          <w:lang w:val="en-US" w:eastAsia="zh-CN" w:bidi="ar-SA"/>
        </w:rPr>
        <w:t>。批发侧电能量费用、偏差考核相关费用按湖南电力市场结算规则执行。</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3.4合同执行期内，甲方预计参加聚合交易电量为</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兆</w:t>
      </w:r>
    </w:p>
    <w:p>
      <w:pPr>
        <w:widowControl/>
        <w:snapToGrid w:val="0"/>
        <w:spacing w:line="480" w:lineRule="exact"/>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瓦时，</w:t>
      </w:r>
      <w:r>
        <w:rPr>
          <w:rFonts w:hint="eastAsia" w:ascii="仿宋" w:hAnsi="仿宋" w:eastAsia="仿宋" w:cs="Times New Roman"/>
          <w:kern w:val="2"/>
          <w:sz w:val="28"/>
          <w:szCs w:val="20"/>
          <w:highlight w:val="none"/>
          <w:lang w:val="en-US" w:eastAsia="zh-CN" w:bidi="ar-SA"/>
        </w:rPr>
        <w:t>甲方按规则向乙方提供历史发电数据作为参考。</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3.5 甲方各时段机制电量按照相关规定结算。乙方通过聚合甲方分布式新能源上网电量的模式参与电力批发市场交易。</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3.6 乙方完成电力市场交易后，应及时将交易结果通知甲方。</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3.7 上网电量按照湖南省内市场交易规则开展结算。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3.8 合同有效期内，因国家或湖南省电力市场相关政策、法规发生重大调整，导致合同无法执行时，按国家或湖南省相关政策法规执行。</w:t>
      </w:r>
    </w:p>
    <w:p>
      <w:pPr>
        <w:pStyle w:val="3"/>
        <w:bidi w:val="0"/>
        <w:jc w:val="center"/>
        <w:rPr>
          <w:rFonts w:hint="eastAsia"/>
          <w:lang w:val="en-US" w:eastAsia="zh-CN"/>
        </w:rPr>
      </w:pPr>
      <w:bookmarkStart w:id="6" w:name="_Toc10322"/>
      <w:r>
        <w:rPr>
          <w:rFonts w:hint="eastAsia"/>
          <w:lang w:val="en-US" w:eastAsia="zh-CN"/>
        </w:rPr>
        <w:t>第四章 计量、结算和支付</w:t>
      </w:r>
      <w:bookmarkEnd w:id="6"/>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4.1甲方的计量点按照甲方与电网企业签订的购售电合同执行，不再另行约定电力交易计量点。</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4.2在本合同执行周期内，按照各相关交易规则进行结算。如交易规则暂未明确规定，依据本合同相关约定进行结算。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4.3甲方的结算电量依据当月实际计量电量确定，当月甲方上网电量按湖南省结算规则进行结算。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4.4甲方的电费收取方式，保持现有电网企业支付的方式不变，其中甲方支付给乙方的聚合代理费用，直接在电网企业支付的上网电费中扣减。乙方的聚合代理费用收取方式，同甲方的电费收取方式一致。</w:t>
      </w:r>
    </w:p>
    <w:p>
      <w:pPr>
        <w:widowControl/>
        <w:snapToGrid w:val="0"/>
        <w:spacing w:line="480" w:lineRule="exact"/>
        <w:ind w:left="0" w:firstLine="560" w:firstLineChars="200"/>
        <w:jc w:val="both"/>
        <w:rPr>
          <w:rFonts w:hint="eastAsia" w:ascii="仿宋" w:hAnsi="仿宋" w:eastAsia="仿宋" w:cs="Times New Roman"/>
          <w:kern w:val="2"/>
          <w:sz w:val="28"/>
          <w:szCs w:val="20"/>
          <w:u w:val="single"/>
          <w:lang w:val="en-US" w:eastAsia="zh-CN" w:bidi="ar-SA"/>
        </w:rPr>
      </w:pPr>
      <w:r>
        <w:rPr>
          <w:rFonts w:hint="eastAsia" w:ascii="仿宋" w:hAnsi="仿宋" w:eastAsia="仿宋" w:cs="Times New Roman"/>
          <w:kern w:val="2"/>
          <w:sz w:val="28"/>
          <w:szCs w:val="20"/>
          <w:lang w:val="en-US" w:eastAsia="zh-CN" w:bidi="ar-SA"/>
        </w:rPr>
        <w:t>4.5其他补充约定：</w:t>
      </w:r>
      <w:r>
        <w:rPr>
          <w:rFonts w:hint="eastAsia" w:ascii="仿宋" w:hAnsi="仿宋" w:eastAsia="仿宋" w:cs="Times New Roman"/>
          <w:kern w:val="2"/>
          <w:sz w:val="28"/>
          <w:szCs w:val="20"/>
          <w:u w:val="single"/>
          <w:lang w:val="en-US" w:eastAsia="zh-CN" w:bidi="ar-SA"/>
        </w:rPr>
        <w:t xml:space="preserve">       </w:t>
      </w:r>
    </w:p>
    <w:p>
      <w:pPr>
        <w:widowControl/>
        <w:numPr>
          <w:ilvl w:val="0"/>
          <w:numId w:val="2"/>
        </w:numPr>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pStyle w:val="3"/>
        <w:bidi w:val="0"/>
        <w:jc w:val="center"/>
        <w:rPr>
          <w:rFonts w:hint="eastAsia"/>
          <w:lang w:val="en-US" w:eastAsia="zh-CN"/>
        </w:rPr>
      </w:pPr>
      <w:bookmarkStart w:id="7" w:name="_Toc26417"/>
      <w:r>
        <w:rPr>
          <w:rFonts w:hint="eastAsia"/>
          <w:lang w:val="en-US" w:eastAsia="zh-CN"/>
        </w:rPr>
        <w:t>第五章 合同终止、合同违约及赔偿</w:t>
      </w:r>
      <w:bookmarkEnd w:id="7"/>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5.1 本合同的任何修改、补充或变更必须以书面的形式进行，双方盖章后方为有效。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5.2 本合同到期（包括合同自然到期、合同提前终止等情形），甲方未及时完成下一个合同周期聚合交易，选择方式</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处理。</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方式 1：自动解除，任何一方提前未经对方同意解除合同视为违约；</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方式 2：按自然月滚动续约，发生以下两种情形的</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取消滚动续约：</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（1）合同双方在协商一致情况下主动取消；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（2）合同甲方完成下一个合同周期聚合交易。</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5.3 如因任一方责任，没有及时完成本合同在交易中心的备案或其他相关执行手续，导致本合同无法执行，双方协商确定赔偿金额。</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5.4 在合同实际开始执行前的31日前，任一方可单方面提出解约，并向交易中心及对方出具解约声明，5日后本合同自行解约，无需承担解约责任。</w:t>
      </w:r>
    </w:p>
    <w:p>
      <w:pPr>
        <w:pStyle w:val="3"/>
        <w:bidi w:val="0"/>
        <w:jc w:val="center"/>
        <w:rPr>
          <w:rFonts w:hint="eastAsia"/>
          <w:lang w:val="en-US" w:eastAsia="zh-CN"/>
        </w:rPr>
      </w:pPr>
      <w:bookmarkStart w:id="8" w:name="_Toc10692"/>
      <w:r>
        <w:rPr>
          <w:rFonts w:hint="eastAsia"/>
          <w:lang w:val="en-US" w:eastAsia="zh-CN"/>
        </w:rPr>
        <w:t>第六章 争议解决</w:t>
      </w:r>
      <w:bookmarkEnd w:id="8"/>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凡因执行本合同所发生的与本合同有关的一切争议，双方应协商解决；协商不成，按以下第</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种方式处理：</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(1)双方同意提请</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(甲方/乙方)所在地仲裁委员会，请求按照其仲裁规则进行仲裁。仲裁裁决是终局的，对双方均具有法律约束力。</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(2)任何一方依法提请</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(甲方/乙方)所在地人民法院通过诉讼程序解决。</w:t>
      </w:r>
    </w:p>
    <w:p>
      <w:pPr>
        <w:pStyle w:val="3"/>
        <w:bidi w:val="0"/>
        <w:jc w:val="center"/>
        <w:rPr>
          <w:rFonts w:hint="eastAsia"/>
          <w:lang w:val="en-US" w:eastAsia="zh-CN"/>
        </w:rPr>
      </w:pPr>
      <w:bookmarkStart w:id="9" w:name="_Toc19371"/>
      <w:r>
        <w:rPr>
          <w:rFonts w:hint="eastAsia"/>
          <w:lang w:val="en-US" w:eastAsia="zh-CN"/>
        </w:rPr>
        <w:t>第七章 适用法律</w:t>
      </w:r>
      <w:bookmarkEnd w:id="9"/>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本合同的订立、效力、解释、履行和争议的解决均适用中华人民共和国法律。</w:t>
      </w:r>
    </w:p>
    <w:p>
      <w:pPr>
        <w:pStyle w:val="3"/>
        <w:bidi w:val="0"/>
        <w:jc w:val="center"/>
        <w:rPr>
          <w:rFonts w:hint="eastAsia"/>
          <w:lang w:val="en-US" w:eastAsia="zh-CN"/>
        </w:rPr>
      </w:pPr>
      <w:bookmarkStart w:id="10" w:name="_Toc13189"/>
      <w:r>
        <w:rPr>
          <w:rFonts w:hint="eastAsia"/>
          <w:lang w:val="en-US" w:eastAsia="zh-CN"/>
        </w:rPr>
        <w:t>第八章 其他</w:t>
      </w:r>
      <w:bookmarkEnd w:id="10"/>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8.1本合同为甲乙双方就本合同标的达成的参与湖南电力市场的全部协议，并作为电力交易中心执行的唯一认定合同。</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8.2 双方保证对从另一方取得且无法自公开渠道获得的资料和文件予以保密。未经该资料和文件的原提供方同意，另一方不得向任何第三方泄露该资料和文件的全部或部分内容。但国家另有规定的除外。</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8.3 本合同的附件是本合同不可缺少的组成部分，与本合同具有同等法律效力。如果采用上述原则后分歧和矛盾仍然存在，则由双方本着诚实信用的原则按合同目的协商确定。</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8.4 任何与本合同有关的通知、文件和合规的账单等均须以书面方式进行。通过挂号信、快递或当面送交的，经收件方签字确认即被认为送达；若以传真方式发出并被接收，即视为送达。所有通知、文件和合规的账单等均在送达或接收后方能生效。一切通知、账单、资料或文件等应发往本合同提供的地址。当该方书面通知另一方变更地址时，发往变更后的地址。</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8.5 双方约定的其他事项:</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8.6 合同一式</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份，甲乙双方各执</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份，副本若干份，分送有关机构。</w:t>
      </w:r>
    </w:p>
    <w:p>
      <w:pPr>
        <w:pageBreakBefore w:val="0"/>
        <w:kinsoku/>
        <w:overflowPunct/>
        <w:topLinePunct w:val="0"/>
        <w:bidi w:val="0"/>
        <w:snapToGrid w:val="0"/>
        <w:spacing w:line="480" w:lineRule="exact"/>
        <w:ind w:firstLine="0" w:firstLineChars="0"/>
        <w:jc w:val="both"/>
        <w:textAlignment w:val="auto"/>
        <w:outlineLvl w:val="0"/>
        <w:rPr>
          <w:rFonts w:hint="eastAsia" w:ascii="仿宋_GB2312" w:hAnsi="仿宋_GB2312" w:eastAsia="仿宋_GB2312" w:cs="仿宋_GB2312"/>
          <w:b/>
          <w:sz w:val="32"/>
          <w:szCs w:val="32"/>
        </w:rPr>
      </w:pPr>
      <w:bookmarkStart w:id="11" w:name="heading_29"/>
    </w:p>
    <w:p>
      <w:pPr>
        <w:pageBreakBefore w:val="0"/>
        <w:kinsoku/>
        <w:overflowPunct/>
        <w:topLinePunct w:val="0"/>
        <w:bidi w:val="0"/>
        <w:snapToGrid w:val="0"/>
        <w:spacing w:line="480" w:lineRule="exact"/>
        <w:ind w:firstLine="0" w:firstLineChars="0"/>
        <w:jc w:val="both"/>
        <w:textAlignment w:val="auto"/>
        <w:outlineLvl w:val="0"/>
        <w:rPr>
          <w:rFonts w:hint="eastAsia" w:ascii="仿宋_GB2312" w:hAnsi="仿宋_GB2312" w:eastAsia="仿宋_GB2312" w:cs="仿宋_GB2312"/>
          <w:b/>
          <w:sz w:val="32"/>
          <w:szCs w:val="32"/>
        </w:rPr>
      </w:pPr>
    </w:p>
    <w:p>
      <w:pPr>
        <w:pageBreakBefore w:val="0"/>
        <w:kinsoku/>
        <w:overflowPunct/>
        <w:topLinePunct w:val="0"/>
        <w:bidi w:val="0"/>
        <w:snapToGrid w:val="0"/>
        <w:spacing w:line="480" w:lineRule="exact"/>
        <w:ind w:firstLine="0" w:firstLineChars="0"/>
        <w:jc w:val="center"/>
        <w:textAlignment w:val="auto"/>
        <w:outlineLvl w:val="0"/>
        <w:rPr>
          <w:rFonts w:hint="eastAsia" w:ascii="仿宋_GB2312" w:hAnsi="仿宋_GB2312" w:eastAsia="仿宋_GB2312" w:cs="仿宋_GB2312"/>
          <w:b/>
          <w:sz w:val="32"/>
          <w:szCs w:val="32"/>
        </w:rPr>
      </w:pPr>
    </w:p>
    <w:p>
      <w:pPr>
        <w:pageBreakBefore w:val="0"/>
        <w:kinsoku/>
        <w:overflowPunct/>
        <w:topLinePunct w:val="0"/>
        <w:bidi w:val="0"/>
        <w:snapToGrid w:val="0"/>
        <w:spacing w:line="480" w:lineRule="exact"/>
        <w:ind w:firstLine="0" w:firstLineChars="0"/>
        <w:jc w:val="center"/>
        <w:textAlignment w:val="auto"/>
        <w:outlineLvl w:val="0"/>
        <w:rPr>
          <w:rFonts w:hint="eastAsia" w:ascii="仿宋_GB2312" w:hAnsi="仿宋_GB2312" w:eastAsia="仿宋_GB2312" w:cs="仿宋_GB2312"/>
          <w:b/>
          <w:sz w:val="32"/>
          <w:szCs w:val="32"/>
        </w:rPr>
      </w:pPr>
    </w:p>
    <w:p>
      <w:pPr>
        <w:pageBreakBefore w:val="0"/>
        <w:kinsoku/>
        <w:overflowPunct/>
        <w:topLinePunct w:val="0"/>
        <w:bidi w:val="0"/>
        <w:snapToGrid w:val="0"/>
        <w:spacing w:line="480" w:lineRule="exact"/>
        <w:ind w:firstLine="0" w:firstLineChars="0"/>
        <w:jc w:val="center"/>
        <w:textAlignment w:val="auto"/>
        <w:outlineLvl w:val="0"/>
        <w:rPr>
          <w:rFonts w:hint="eastAsia" w:ascii="仿宋_GB2312" w:hAnsi="仿宋_GB2312" w:eastAsia="仿宋_GB2312" w:cs="仿宋_GB2312"/>
          <w:b/>
          <w:sz w:val="32"/>
          <w:szCs w:val="32"/>
        </w:rPr>
        <w:sectPr>
          <w:headerReference r:id="rId10" w:type="default"/>
          <w:footerReference r:id="rId11" w:type="default"/>
          <w:pgSz w:w="11905" w:h="16840"/>
          <w:pgNumType w:fmt="decimal" w:start="1"/>
          <w:cols w:space="720" w:num="1"/>
        </w:sectPr>
      </w:pPr>
    </w:p>
    <w:p>
      <w:pPr>
        <w:adjustRightInd w:val="0"/>
        <w:snapToGrid w:val="0"/>
        <w:spacing w:line="580" w:lineRule="exact"/>
        <w:outlineLvl w:val="0"/>
        <w:rPr>
          <w:rFonts w:hint="eastAsia" w:eastAsia="仿宋_GB2312"/>
          <w:b/>
          <w:sz w:val="32"/>
          <w:szCs w:val="32"/>
          <w:lang w:eastAsia="zh-CN"/>
        </w:rPr>
      </w:pPr>
      <w:r>
        <w:rPr>
          <w:rFonts w:eastAsia="仿宋_GB2312"/>
          <w:b/>
          <w:sz w:val="32"/>
          <w:szCs w:val="32"/>
        </w:rPr>
        <w:t>附件</w:t>
      </w:r>
      <w:r>
        <w:rPr>
          <w:rFonts w:hint="eastAsia" w:eastAsia="仿宋_GB2312"/>
          <w:b/>
          <w:sz w:val="32"/>
          <w:szCs w:val="32"/>
          <w:lang w:val="en-US" w:eastAsia="zh-CN"/>
        </w:rPr>
        <w:t>3</w:t>
      </w:r>
      <w:r>
        <w:rPr>
          <w:rFonts w:eastAsia="仿宋_GB2312"/>
          <w:b/>
          <w:sz w:val="32"/>
          <w:szCs w:val="32"/>
        </w:rPr>
        <w:t>：</w:t>
      </w:r>
      <w:r>
        <w:rPr>
          <w:rFonts w:hint="eastAsia" w:eastAsia="仿宋_GB2312"/>
          <w:b/>
          <w:sz w:val="32"/>
          <w:szCs w:val="32"/>
        </w:rPr>
        <w:t>虚拟电厂与分布式新能源聚合服务合同</w:t>
      </w:r>
      <w:r>
        <w:rPr>
          <w:rFonts w:hint="eastAsia" w:eastAsia="仿宋_GB2312"/>
          <w:b/>
          <w:sz w:val="32"/>
          <w:szCs w:val="32"/>
          <w:lang w:eastAsia="zh-CN"/>
        </w:rPr>
        <w:t>（</w:t>
      </w:r>
      <w:r>
        <w:rPr>
          <w:rFonts w:hint="eastAsia" w:eastAsia="仿宋_GB2312"/>
          <w:b/>
          <w:sz w:val="32"/>
          <w:szCs w:val="32"/>
          <w:lang w:val="en-US" w:eastAsia="zh-CN"/>
        </w:rPr>
        <w:t>绿电</w:t>
      </w:r>
      <w:r>
        <w:rPr>
          <w:rFonts w:hint="eastAsia" w:eastAsia="仿宋_GB2312"/>
          <w:b/>
          <w:sz w:val="32"/>
          <w:szCs w:val="32"/>
          <w:lang w:eastAsia="zh-CN"/>
        </w:rPr>
        <w:t>）</w:t>
      </w:r>
    </w:p>
    <w:p>
      <w:pPr>
        <w:pStyle w:val="2"/>
        <w:rPr>
          <w:rFonts w:hint="eastAsia"/>
          <w:lang w:eastAsia="zh-CN"/>
        </w:rPr>
      </w:pPr>
    </w:p>
    <w:p>
      <w:pPr>
        <w:keepNext w:val="0"/>
        <w:keepLines w:val="0"/>
        <w:widowControl/>
        <w:suppressLineNumbers w:val="0"/>
        <w:jc w:val="left"/>
      </w:pPr>
      <w:r>
        <w:rPr>
          <w:rFonts w:ascii="仿宋" w:hAnsi="仿宋" w:eastAsia="仿宋" w:cs="仿宋"/>
          <w:color w:val="000000"/>
          <w:kern w:val="0"/>
          <w:sz w:val="31"/>
          <w:szCs w:val="31"/>
          <w:lang w:val="en-US" w:eastAsia="zh-CN" w:bidi="ar"/>
        </w:rPr>
        <w:t xml:space="preserve">甲方合同编号：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乙方合同编号：</w:t>
      </w:r>
    </w:p>
    <w:p>
      <w:pPr>
        <w:spacing w:before="97" w:line="230" w:lineRule="auto"/>
        <w:ind w:left="0"/>
        <w:jc w:val="both"/>
        <w:rPr>
          <w:rFonts w:hint="eastAsia" w:ascii="仿宋" w:hAnsi="仿宋" w:eastAsia="仿宋" w:cs="仿宋"/>
          <w:sz w:val="30"/>
          <w:szCs w:val="30"/>
          <w:lang w:val="en-US" w:eastAsia="zh-CN"/>
        </w:rPr>
      </w:pPr>
    </w:p>
    <w:p>
      <w:pPr>
        <w:pStyle w:val="8"/>
        <w:spacing w:line="260" w:lineRule="auto"/>
        <w:jc w:val="both"/>
      </w:pPr>
    </w:p>
    <w:p>
      <w:pPr>
        <w:pStyle w:val="8"/>
        <w:spacing w:line="260" w:lineRule="auto"/>
        <w:jc w:val="both"/>
      </w:pPr>
    </w:p>
    <w:p>
      <w:pPr>
        <w:pStyle w:val="8"/>
        <w:spacing w:line="260" w:lineRule="auto"/>
        <w:jc w:val="both"/>
      </w:pPr>
    </w:p>
    <w:p>
      <w:pPr>
        <w:pStyle w:val="8"/>
        <w:spacing w:line="260" w:lineRule="auto"/>
        <w:jc w:val="both"/>
      </w:pPr>
    </w:p>
    <w:p>
      <w:pPr>
        <w:pStyle w:val="8"/>
        <w:spacing w:line="260" w:lineRule="auto"/>
        <w:jc w:val="both"/>
      </w:pPr>
    </w:p>
    <w:p>
      <w:pPr>
        <w:pStyle w:val="8"/>
        <w:spacing w:line="260" w:lineRule="auto"/>
        <w:jc w:val="both"/>
      </w:pPr>
    </w:p>
    <w:p>
      <w:pPr>
        <w:pStyle w:val="8"/>
        <w:spacing w:line="261" w:lineRule="auto"/>
        <w:jc w:val="both"/>
      </w:pPr>
    </w:p>
    <w:p>
      <w:pPr>
        <w:pStyle w:val="8"/>
        <w:spacing w:line="253" w:lineRule="auto"/>
        <w:jc w:val="center"/>
        <w:rPr>
          <w:rFonts w:hint="eastAsia" w:ascii="华文中宋" w:hAnsi="华文中宋" w:eastAsia="华文中宋" w:cs="Times New Roman"/>
          <w:b/>
          <w:spacing w:val="0"/>
          <w:kern w:val="2"/>
          <w:sz w:val="48"/>
          <w:szCs w:val="20"/>
          <w:lang w:val="en-US" w:eastAsia="zh-CN" w:bidi="ar-SA"/>
        </w:rPr>
      </w:pPr>
      <w:r>
        <w:rPr>
          <w:rFonts w:hint="eastAsia" w:ascii="华文中宋" w:hAnsi="华文中宋" w:eastAsia="华文中宋" w:cs="Times New Roman"/>
          <w:b/>
          <w:spacing w:val="0"/>
          <w:kern w:val="2"/>
          <w:sz w:val="48"/>
          <w:szCs w:val="20"/>
          <w:lang w:val="en-US" w:eastAsia="zh-CN" w:bidi="ar-SA"/>
        </w:rPr>
        <w:t>虚拟电厂/聚合商与分布式新能</w:t>
      </w:r>
    </w:p>
    <w:p>
      <w:pPr>
        <w:pStyle w:val="8"/>
        <w:spacing w:line="253" w:lineRule="auto"/>
        <w:jc w:val="center"/>
      </w:pPr>
      <w:r>
        <w:rPr>
          <w:rFonts w:hint="eastAsia" w:ascii="华文中宋" w:hAnsi="华文中宋" w:eastAsia="华文中宋" w:cs="Times New Roman"/>
          <w:b/>
          <w:spacing w:val="0"/>
          <w:kern w:val="2"/>
          <w:sz w:val="48"/>
          <w:szCs w:val="20"/>
          <w:lang w:val="en-US" w:eastAsia="zh-CN" w:bidi="ar-SA"/>
        </w:rPr>
        <w:t>源聚合服务合同（参考文本）</w:t>
      </w:r>
    </w:p>
    <w:p>
      <w:pPr>
        <w:pStyle w:val="8"/>
        <w:spacing w:line="253" w:lineRule="auto"/>
        <w:jc w:val="both"/>
      </w:pPr>
    </w:p>
    <w:p>
      <w:pPr>
        <w:pStyle w:val="8"/>
        <w:spacing w:line="253" w:lineRule="auto"/>
        <w:jc w:val="both"/>
      </w:pPr>
    </w:p>
    <w:p>
      <w:pPr>
        <w:pStyle w:val="8"/>
        <w:spacing w:line="253" w:lineRule="auto"/>
        <w:jc w:val="both"/>
      </w:pPr>
    </w:p>
    <w:p>
      <w:pPr>
        <w:pStyle w:val="8"/>
        <w:spacing w:line="253" w:lineRule="auto"/>
        <w:jc w:val="both"/>
      </w:pPr>
    </w:p>
    <w:p>
      <w:pPr>
        <w:pStyle w:val="8"/>
        <w:spacing w:line="254" w:lineRule="auto"/>
        <w:jc w:val="both"/>
      </w:pPr>
    </w:p>
    <w:p>
      <w:pPr>
        <w:pStyle w:val="8"/>
        <w:spacing w:line="254" w:lineRule="auto"/>
        <w:jc w:val="both"/>
      </w:pPr>
    </w:p>
    <w:p>
      <w:pPr>
        <w:pStyle w:val="8"/>
        <w:spacing w:line="254" w:lineRule="auto"/>
        <w:jc w:val="both"/>
      </w:pPr>
    </w:p>
    <w:p>
      <w:pPr>
        <w:pStyle w:val="8"/>
        <w:spacing w:line="254" w:lineRule="auto"/>
        <w:jc w:val="both"/>
      </w:pPr>
    </w:p>
    <w:p>
      <w:pPr>
        <w:pStyle w:val="8"/>
        <w:spacing w:line="254" w:lineRule="auto"/>
        <w:jc w:val="both"/>
      </w:pPr>
    </w:p>
    <w:p>
      <w:pPr>
        <w:keepNext w:val="0"/>
        <w:keepLines w:val="0"/>
        <w:widowControl/>
        <w:suppressLineNumbers w:val="0"/>
        <w:jc w:val="left"/>
        <w:rPr>
          <w:rFonts w:hint="default"/>
          <w:u w:val="single"/>
          <w:lang w:val="en-US"/>
        </w:rPr>
      </w:pPr>
      <w:r>
        <w:rPr>
          <w:rFonts w:ascii="方正小标宋_GBK" w:hAnsi="方正小标宋_GBK" w:eastAsia="方正小标宋_GBK" w:cs="方正小标宋_GBK"/>
          <w:color w:val="000000"/>
          <w:kern w:val="0"/>
          <w:sz w:val="31"/>
          <w:szCs w:val="31"/>
          <w:lang w:val="en-US" w:eastAsia="zh-CN" w:bidi="ar"/>
        </w:rPr>
        <w:t>甲方(分布式新能源)：</w:t>
      </w:r>
    </w:p>
    <w:p>
      <w:pPr>
        <w:keepNext w:val="0"/>
        <w:keepLines w:val="0"/>
        <w:widowControl/>
        <w:suppressLineNumbers w:val="0"/>
        <w:jc w:val="left"/>
      </w:pPr>
      <w:r>
        <w:rPr>
          <w:rFonts w:hint="eastAsia" w:ascii="方正小标宋_GBK" w:hAnsi="方正小标宋_GBK" w:eastAsia="方正小标宋_GBK" w:cs="方正小标宋_GBK"/>
          <w:color w:val="000000"/>
          <w:kern w:val="0"/>
          <w:sz w:val="31"/>
          <w:szCs w:val="31"/>
          <w:lang w:val="en-US" w:eastAsia="zh-CN" w:bidi="ar"/>
        </w:rPr>
        <w:t>乙方(虚拟电厂/聚合商)：</w:t>
      </w:r>
    </w:p>
    <w:p>
      <w:pPr>
        <w:snapToGrid w:val="0"/>
        <w:spacing w:line="560" w:lineRule="exact"/>
        <w:ind w:firstLine="640" w:firstLineChars="200"/>
        <w:rPr>
          <w:rFonts w:hint="eastAsia" w:ascii="华文中宋" w:hAnsi="华文中宋" w:eastAsia="华文中宋"/>
          <w:b/>
          <w:sz w:val="32"/>
          <w:u w:val="single"/>
          <w:lang w:val="en-US" w:eastAsia="zh-CN"/>
        </w:rPr>
      </w:pPr>
    </w:p>
    <w:p>
      <w:pPr>
        <w:snapToGrid w:val="0"/>
        <w:spacing w:line="560" w:lineRule="exact"/>
        <w:ind w:firstLine="640" w:firstLineChars="200"/>
        <w:jc w:val="center"/>
        <w:rPr>
          <w:rFonts w:hint="default" w:ascii="华文中宋" w:hAnsi="华文中宋" w:eastAsia="华文中宋"/>
          <w:b/>
          <w:sz w:val="32"/>
          <w:u w:val="single"/>
          <w:lang w:val="en-US" w:eastAsia="zh-CN"/>
        </w:rPr>
      </w:pPr>
      <w:r>
        <w:rPr>
          <w:rFonts w:hint="eastAsia" w:ascii="华文中宋" w:hAnsi="华文中宋" w:eastAsia="华文中宋"/>
          <w:b/>
          <w:sz w:val="32"/>
          <w:u w:val="single"/>
          <w:lang w:val="en-US" w:eastAsia="zh-CN"/>
        </w:rPr>
        <w:t xml:space="preserve">     </w:t>
      </w:r>
      <w:r>
        <w:rPr>
          <w:rFonts w:hint="eastAsia" w:ascii="华文中宋" w:hAnsi="华文中宋" w:eastAsia="华文中宋"/>
          <w:b/>
          <w:sz w:val="32"/>
          <w:u w:val="single"/>
        </w:rPr>
        <w:t>年</w:t>
      </w:r>
      <w:r>
        <w:rPr>
          <w:rFonts w:hint="eastAsia" w:ascii="华文中宋" w:hAnsi="华文中宋" w:eastAsia="华文中宋"/>
          <w:b/>
          <w:sz w:val="32"/>
          <w:u w:val="single"/>
          <w:lang w:val="en-US" w:eastAsia="zh-CN"/>
        </w:rPr>
        <w:t xml:space="preserve">    </w:t>
      </w:r>
      <w:r>
        <w:rPr>
          <w:rFonts w:hint="eastAsia" w:ascii="华文中宋" w:hAnsi="华文中宋" w:eastAsia="华文中宋"/>
          <w:b/>
          <w:sz w:val="32"/>
          <w:u w:val="single"/>
        </w:rPr>
        <w:t>月</w:t>
      </w:r>
    </w:p>
    <w:p>
      <w:pPr>
        <w:snapToGrid w:val="0"/>
        <w:spacing w:line="560" w:lineRule="exact"/>
        <w:ind w:firstLine="560" w:firstLineChars="200"/>
        <w:rPr>
          <w:rFonts w:hint="eastAsia" w:ascii="仿宋" w:hAnsi="仿宋" w:eastAsia="华文中宋"/>
          <w:sz w:val="28"/>
          <w:szCs w:val="28"/>
          <w:lang w:eastAsia="zh-CN"/>
        </w:rPr>
        <w:sectPr>
          <w:headerReference r:id="rId12" w:type="default"/>
          <w:footerReference r:id="rId13" w:type="default"/>
          <w:pgSz w:w="11906" w:h="16838"/>
          <w:pgMar w:top="1440" w:right="1800" w:bottom="1440" w:left="1800" w:header="851" w:footer="992" w:gutter="0"/>
          <w:pgNumType w:fmt="upperRoman" w:start="1"/>
          <w:cols w:space="720" w:num="1"/>
          <w:docGrid w:type="lines" w:linePitch="312" w:charSpace="0"/>
        </w:sectPr>
      </w:pPr>
    </w:p>
    <w:p>
      <w:pPr>
        <w:snapToGrid w:val="0"/>
        <w:jc w:val="center"/>
        <w:rPr>
          <w:rFonts w:hint="eastAsia" w:ascii="华文中宋" w:hAnsi="华文中宋" w:eastAsia="华文中宋"/>
          <w:b/>
          <w:w w:val="101"/>
          <w:kern w:val="0"/>
          <w:sz w:val="32"/>
        </w:rPr>
      </w:pPr>
      <w:r>
        <w:rPr>
          <w:rFonts w:hint="eastAsia" w:ascii="华文中宋" w:hAnsi="华文中宋" w:eastAsia="华文中宋"/>
          <w:b/>
          <w:w w:val="101"/>
          <w:kern w:val="0"/>
          <w:sz w:val="32"/>
          <w:lang w:val="en-US" w:eastAsia="zh-CN"/>
        </w:rPr>
        <w:t>合同</w:t>
      </w:r>
      <w:r>
        <w:rPr>
          <w:rFonts w:hint="eastAsia" w:ascii="华文中宋" w:hAnsi="华文中宋" w:eastAsia="华文中宋"/>
          <w:b/>
          <w:w w:val="101"/>
          <w:kern w:val="0"/>
          <w:sz w:val="32"/>
        </w:rPr>
        <w:t>使用说明</w:t>
      </w:r>
    </w:p>
    <w:p>
      <w:pPr>
        <w:snapToGrid w:val="0"/>
        <w:spacing w:line="480" w:lineRule="exact"/>
        <w:ind w:firstLine="562" w:firstLineChars="200"/>
        <w:jc w:val="center"/>
        <w:rPr>
          <w:rFonts w:hint="eastAsia" w:ascii="仿宋" w:hAnsi="仿宋" w:eastAsia="仿宋"/>
          <w:b/>
          <w:sz w:val="28"/>
        </w:rPr>
      </w:pPr>
    </w:p>
    <w:p>
      <w:pPr>
        <w:snapToGrid w:val="0"/>
        <w:spacing w:line="480" w:lineRule="exact"/>
        <w:ind w:firstLine="560" w:firstLineChars="200"/>
        <w:jc w:val="both"/>
        <w:rPr>
          <w:rFonts w:hint="default" w:ascii="仿宋" w:hAnsi="仿宋" w:eastAsia="仿宋"/>
          <w:sz w:val="28"/>
          <w:lang w:val="en-US" w:eastAsia="zh-CN"/>
        </w:rPr>
      </w:pPr>
      <w:r>
        <w:rPr>
          <w:rFonts w:hint="eastAsia" w:ascii="仿宋" w:hAnsi="仿宋" w:eastAsia="仿宋"/>
          <w:sz w:val="28"/>
        </w:rPr>
        <w:t>1.本合同适用于符合</w:t>
      </w:r>
      <w:r>
        <w:rPr>
          <w:rFonts w:hint="eastAsia" w:ascii="仿宋" w:hAnsi="仿宋" w:eastAsia="仿宋"/>
          <w:sz w:val="28"/>
          <w:lang w:val="en-US" w:eastAsia="zh-CN"/>
        </w:rPr>
        <w:t>湖南</w:t>
      </w:r>
      <w:r>
        <w:rPr>
          <w:rFonts w:hint="eastAsia" w:ascii="仿宋" w:hAnsi="仿宋" w:eastAsia="仿宋"/>
          <w:sz w:val="28"/>
        </w:rPr>
        <w:t>省分布式新能源聚合参与省内绿电交易准入要求的分布式新能源和分布式新能源聚合商（以下简称“聚合商”）之间签订的电能（含电力、电量）、绿色环境权益聚合合同。</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2</w:t>
      </w:r>
      <w:r>
        <w:rPr>
          <w:rFonts w:hint="eastAsia" w:ascii="仿宋" w:hAnsi="仿宋" w:eastAsia="仿宋"/>
          <w:sz w:val="28"/>
        </w:rPr>
        <w:t>.如无特别说明，本合同所有电力市场专业名词均与当前执行的市场规则一致</w:t>
      </w:r>
      <w:r>
        <w:rPr>
          <w:rFonts w:hint="eastAsia" w:ascii="仿宋" w:hAnsi="仿宋" w:eastAsia="仿宋"/>
          <w:sz w:val="28"/>
          <w:lang w:val="zh-CN"/>
        </w:rPr>
        <w:t>。</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3</w:t>
      </w:r>
      <w:r>
        <w:rPr>
          <w:rFonts w:hint="eastAsia" w:ascii="仿宋" w:hAnsi="仿宋" w:eastAsia="仿宋"/>
          <w:sz w:val="28"/>
          <w:lang w:val="zh-CN"/>
        </w:rPr>
        <w:t>.本合同中绿色电力交易是指以绿色电力和对应绿色电力环境价值为标的物的电力交易品种，交易电力同时提供国家核发的可再生能源绿色电力证书（以下简称绿证），用以满足发电企业、售电公司、电力用户等出售、购买绿色电力的需求。</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4.</w:t>
      </w:r>
      <w:r>
        <w:rPr>
          <w:rFonts w:hint="eastAsia" w:ascii="仿宋" w:hAnsi="仿宋" w:eastAsia="仿宋"/>
          <w:sz w:val="28"/>
          <w:lang w:val="zh-CN"/>
        </w:rPr>
        <w:t>本合同中成交电能量价格均指市场化交易成交电价，不含上网环节线损费用、输配电费、系统运行费用、政府性基金及附加。</w:t>
      </w:r>
    </w:p>
    <w:p>
      <w:pPr>
        <w:snapToGrid w:val="0"/>
        <w:spacing w:line="480" w:lineRule="exact"/>
        <w:ind w:firstLine="560" w:firstLineChars="200"/>
        <w:jc w:val="both"/>
        <w:rPr>
          <w:rFonts w:hint="eastAsia" w:ascii="仿宋" w:hAnsi="仿宋" w:eastAsia="仿宋"/>
          <w:sz w:val="28"/>
          <w:lang w:val="zh-CN"/>
        </w:rPr>
      </w:pPr>
      <w:r>
        <w:rPr>
          <w:rFonts w:hint="eastAsia" w:ascii="仿宋" w:hAnsi="仿宋" w:eastAsia="仿宋"/>
          <w:sz w:val="28"/>
          <w:lang w:val="en-US" w:eastAsia="zh-CN"/>
        </w:rPr>
        <w:t>5.本合同中有关空</w:t>
      </w:r>
      <w:r>
        <w:rPr>
          <w:rFonts w:hint="default" w:ascii="仿宋" w:hAnsi="仿宋" w:eastAsia="仿宋"/>
          <w:sz w:val="28"/>
          <w:lang w:val="en-US" w:eastAsia="zh-CN"/>
        </w:rPr>
        <w:t>格的内</w:t>
      </w:r>
      <w:r>
        <w:rPr>
          <w:rFonts w:hint="eastAsia" w:ascii="仿宋" w:hAnsi="仿宋" w:eastAsia="仿宋"/>
          <w:sz w:val="28"/>
          <w:lang w:val="en-US" w:eastAsia="zh-CN"/>
        </w:rPr>
        <w:t>容由</w:t>
      </w:r>
      <w:r>
        <w:rPr>
          <w:rFonts w:hint="default" w:ascii="仿宋" w:hAnsi="仿宋" w:eastAsia="仿宋"/>
          <w:sz w:val="28"/>
          <w:lang w:val="en-US" w:eastAsia="zh-CN"/>
        </w:rPr>
        <w:t>合同各方约定或据实填写，</w:t>
      </w:r>
      <w:r>
        <w:rPr>
          <w:rFonts w:hint="eastAsia" w:ascii="仿宋" w:hAnsi="仿宋" w:eastAsia="仿宋"/>
          <w:sz w:val="28"/>
          <w:lang w:val="en-US" w:eastAsia="zh-CN"/>
        </w:rPr>
        <w:t>空</w:t>
      </w:r>
      <w:r>
        <w:rPr>
          <w:rFonts w:hint="default" w:ascii="仿宋" w:hAnsi="仿宋" w:eastAsia="仿宋"/>
          <w:sz w:val="28"/>
          <w:lang w:val="en-US" w:eastAsia="zh-CN"/>
        </w:rPr>
        <w:t>格处没有</w:t>
      </w:r>
      <w:r>
        <w:rPr>
          <w:rFonts w:hint="eastAsia" w:ascii="仿宋" w:hAnsi="仿宋" w:eastAsia="仿宋"/>
          <w:sz w:val="28"/>
          <w:lang w:val="en-US" w:eastAsia="zh-CN"/>
        </w:rPr>
        <w:t>添加</w:t>
      </w:r>
      <w:r>
        <w:rPr>
          <w:rFonts w:hint="default" w:ascii="仿宋" w:hAnsi="仿宋" w:eastAsia="仿宋"/>
          <w:sz w:val="28"/>
          <w:lang w:val="en-US" w:eastAsia="zh-CN"/>
        </w:rPr>
        <w:t>内</w:t>
      </w:r>
      <w:r>
        <w:rPr>
          <w:rFonts w:hint="eastAsia" w:ascii="仿宋" w:hAnsi="仿宋" w:eastAsia="仿宋"/>
          <w:sz w:val="28"/>
          <w:lang w:val="en-US" w:eastAsia="zh-CN"/>
        </w:rPr>
        <w:t>容</w:t>
      </w:r>
      <w:r>
        <w:rPr>
          <w:rFonts w:hint="default" w:ascii="仿宋" w:hAnsi="仿宋" w:eastAsia="仿宋"/>
          <w:sz w:val="28"/>
          <w:lang w:val="en-US" w:eastAsia="zh-CN"/>
        </w:rPr>
        <w:t>的，请填写“无”或</w:t>
      </w:r>
      <w:r>
        <w:rPr>
          <w:rFonts w:hint="eastAsia" w:ascii="仿宋" w:hAnsi="仿宋" w:eastAsia="仿宋"/>
          <w:sz w:val="28"/>
          <w:lang w:val="en-US" w:eastAsia="zh-CN"/>
        </w:rPr>
        <w:t>划</w:t>
      </w:r>
      <w:r>
        <w:rPr>
          <w:rFonts w:hint="default" w:ascii="仿宋" w:hAnsi="仿宋" w:eastAsia="仿宋"/>
          <w:sz w:val="28"/>
          <w:lang w:val="en-US" w:eastAsia="zh-CN"/>
        </w:rPr>
        <w:t>“/”。本合同中双方</w:t>
      </w:r>
      <w:r>
        <w:rPr>
          <w:rFonts w:hint="eastAsia" w:ascii="仿宋" w:hAnsi="仿宋" w:eastAsia="仿宋"/>
          <w:sz w:val="28"/>
          <w:lang w:val="en-US" w:eastAsia="zh-CN"/>
        </w:rPr>
        <w:t>做</w:t>
      </w:r>
      <w:r>
        <w:rPr>
          <w:rFonts w:hint="default" w:ascii="仿宋" w:hAnsi="仿宋" w:eastAsia="仿宋"/>
          <w:sz w:val="28"/>
          <w:lang w:val="en-US" w:eastAsia="zh-CN"/>
        </w:rPr>
        <w:t>出的市场交易约定需</w:t>
      </w:r>
      <w:r>
        <w:rPr>
          <w:rFonts w:hint="eastAsia" w:ascii="仿宋" w:hAnsi="仿宋" w:eastAsia="仿宋"/>
          <w:sz w:val="28"/>
          <w:lang w:val="en-US" w:eastAsia="zh-CN"/>
        </w:rPr>
        <w:t>符</w:t>
      </w:r>
      <w:r>
        <w:rPr>
          <w:rFonts w:hint="default" w:ascii="仿宋" w:hAnsi="仿宋" w:eastAsia="仿宋"/>
          <w:sz w:val="28"/>
          <w:lang w:val="en-US" w:eastAsia="zh-CN"/>
        </w:rPr>
        <w:t>合</w:t>
      </w:r>
      <w:r>
        <w:rPr>
          <w:rFonts w:hint="eastAsia" w:ascii="仿宋" w:hAnsi="仿宋" w:eastAsia="仿宋"/>
          <w:sz w:val="28"/>
          <w:lang w:val="en-US" w:eastAsia="zh-CN"/>
        </w:rPr>
        <w:t>湖南</w:t>
      </w:r>
      <w:r>
        <w:rPr>
          <w:rFonts w:hint="default" w:ascii="仿宋" w:hAnsi="仿宋" w:eastAsia="仿宋"/>
          <w:sz w:val="28"/>
          <w:lang w:val="en-US" w:eastAsia="zh-CN"/>
        </w:rPr>
        <w:t>省电力交易市场相关规则，双方对本合同内</w:t>
      </w:r>
      <w:r>
        <w:rPr>
          <w:rFonts w:hint="eastAsia" w:ascii="仿宋" w:hAnsi="仿宋" w:eastAsia="仿宋"/>
          <w:sz w:val="28"/>
          <w:lang w:val="en-US" w:eastAsia="zh-CN"/>
        </w:rPr>
        <w:t>容做</w:t>
      </w:r>
      <w:r>
        <w:rPr>
          <w:rFonts w:hint="default" w:ascii="仿宋" w:hAnsi="仿宋" w:eastAsia="仿宋"/>
          <w:sz w:val="28"/>
          <w:lang w:val="en-US" w:eastAsia="zh-CN"/>
        </w:rPr>
        <w:t>出违</w:t>
      </w:r>
      <w:r>
        <w:rPr>
          <w:rFonts w:hint="eastAsia" w:ascii="仿宋" w:hAnsi="仿宋" w:eastAsia="仿宋"/>
          <w:sz w:val="28"/>
          <w:lang w:val="en-US" w:eastAsia="zh-CN"/>
        </w:rPr>
        <w:t>背</w:t>
      </w:r>
      <w:r>
        <w:rPr>
          <w:rFonts w:hint="default" w:ascii="仿宋" w:hAnsi="仿宋" w:eastAsia="仿宋"/>
          <w:sz w:val="28"/>
          <w:lang w:val="en-US" w:eastAsia="zh-CN"/>
        </w:rPr>
        <w:t>或</w:t>
      </w:r>
      <w:r>
        <w:rPr>
          <w:rFonts w:hint="eastAsia" w:ascii="仿宋" w:hAnsi="仿宋" w:eastAsia="仿宋"/>
          <w:sz w:val="28"/>
          <w:lang w:val="en-US" w:eastAsia="zh-CN"/>
        </w:rPr>
        <w:t>超</w:t>
      </w:r>
      <w:r>
        <w:rPr>
          <w:rFonts w:hint="default" w:ascii="仿宋" w:hAnsi="仿宋" w:eastAsia="仿宋"/>
          <w:sz w:val="28"/>
          <w:lang w:val="en-US" w:eastAsia="zh-CN"/>
        </w:rPr>
        <w:t>出市场规则的约定均</w:t>
      </w:r>
      <w:r>
        <w:rPr>
          <w:rFonts w:hint="eastAsia" w:ascii="仿宋" w:hAnsi="仿宋" w:eastAsia="仿宋"/>
          <w:sz w:val="28"/>
          <w:lang w:val="en-US" w:eastAsia="zh-CN"/>
        </w:rPr>
        <w:t>属</w:t>
      </w:r>
      <w:r>
        <w:rPr>
          <w:rFonts w:hint="default" w:ascii="仿宋" w:hAnsi="仿宋" w:eastAsia="仿宋"/>
          <w:sz w:val="28"/>
          <w:lang w:val="en-US" w:eastAsia="zh-CN"/>
        </w:rPr>
        <w:t>于</w:t>
      </w:r>
      <w:r>
        <w:rPr>
          <w:rFonts w:hint="eastAsia" w:ascii="仿宋" w:hAnsi="仿宋" w:eastAsia="仿宋"/>
          <w:sz w:val="28"/>
          <w:lang w:val="en-US" w:eastAsia="zh-CN"/>
        </w:rPr>
        <w:t>虚假</w:t>
      </w:r>
      <w:r>
        <w:rPr>
          <w:rFonts w:hint="default" w:ascii="仿宋" w:hAnsi="仿宋" w:eastAsia="仿宋"/>
          <w:sz w:val="28"/>
          <w:lang w:val="en-US" w:eastAsia="zh-CN"/>
        </w:rPr>
        <w:t>承</w:t>
      </w:r>
      <w:r>
        <w:rPr>
          <w:rFonts w:hint="eastAsia" w:ascii="仿宋" w:hAnsi="仿宋" w:eastAsia="仿宋"/>
          <w:sz w:val="28"/>
          <w:lang w:val="en-US" w:eastAsia="zh-CN"/>
        </w:rPr>
        <w:t>诺</w:t>
      </w:r>
      <w:r>
        <w:rPr>
          <w:rFonts w:hint="default" w:ascii="仿宋" w:hAnsi="仿宋" w:eastAsia="仿宋"/>
          <w:sz w:val="28"/>
          <w:lang w:val="en-US" w:eastAsia="zh-CN"/>
        </w:rPr>
        <w:t>。</w:t>
      </w:r>
    </w:p>
    <w:p>
      <w:pPr>
        <w:snapToGrid w:val="0"/>
        <w:spacing w:line="480" w:lineRule="exact"/>
        <w:ind w:firstLine="560" w:firstLineChars="200"/>
        <w:jc w:val="both"/>
        <w:rPr>
          <w:rFonts w:hint="default" w:ascii="仿宋" w:hAnsi="仿宋" w:eastAsia="仿宋"/>
          <w:sz w:val="28"/>
          <w:lang w:val="en-US" w:eastAsia="zh-CN"/>
        </w:rPr>
      </w:pPr>
      <w:r>
        <w:rPr>
          <w:rFonts w:hint="eastAsia" w:ascii="仿宋" w:hAnsi="仿宋" w:eastAsia="仿宋"/>
          <w:sz w:val="28"/>
          <w:lang w:val="en-US" w:eastAsia="zh-CN"/>
        </w:rPr>
        <w:t>6.</w:t>
      </w:r>
      <w:r>
        <w:rPr>
          <w:rFonts w:hint="default" w:ascii="仿宋" w:hAnsi="仿宋" w:eastAsia="仿宋"/>
          <w:sz w:val="28"/>
          <w:lang w:val="en-US" w:eastAsia="zh-CN"/>
        </w:rPr>
        <w:t>如法律、法规发生变化或</w:t>
      </w:r>
      <w:r>
        <w:rPr>
          <w:rFonts w:hint="eastAsia" w:ascii="仿宋" w:hAnsi="仿宋" w:eastAsia="仿宋"/>
          <w:sz w:val="28"/>
          <w:lang w:val="en-US" w:eastAsia="zh-CN"/>
        </w:rPr>
        <w:t>者政府部门</w:t>
      </w:r>
      <w:r>
        <w:rPr>
          <w:rFonts w:hint="default" w:ascii="仿宋" w:hAnsi="仿宋" w:eastAsia="仿宋"/>
          <w:sz w:val="28"/>
          <w:lang w:val="en-US" w:eastAsia="zh-CN"/>
        </w:rPr>
        <w:t>出</w:t>
      </w:r>
      <w:r>
        <w:rPr>
          <w:rFonts w:hint="eastAsia" w:ascii="仿宋" w:hAnsi="仿宋" w:eastAsia="仿宋"/>
          <w:sz w:val="28"/>
          <w:lang w:val="en-US" w:eastAsia="zh-CN"/>
        </w:rPr>
        <w:t>台新</w:t>
      </w:r>
      <w:r>
        <w:rPr>
          <w:rFonts w:hint="default" w:ascii="仿宋" w:hAnsi="仿宋" w:eastAsia="仿宋"/>
          <w:sz w:val="28"/>
          <w:lang w:val="en-US" w:eastAsia="zh-CN"/>
        </w:rPr>
        <w:t>的规定、规则，本合同内</w:t>
      </w:r>
      <w:r>
        <w:rPr>
          <w:rFonts w:hint="eastAsia" w:ascii="仿宋" w:hAnsi="仿宋" w:eastAsia="仿宋"/>
          <w:sz w:val="28"/>
          <w:lang w:val="en-US" w:eastAsia="zh-CN"/>
        </w:rPr>
        <w:t>容</w:t>
      </w:r>
      <w:r>
        <w:rPr>
          <w:rFonts w:hint="default" w:ascii="仿宋" w:hAnsi="仿宋" w:eastAsia="仿宋"/>
          <w:sz w:val="28"/>
          <w:lang w:val="en-US" w:eastAsia="zh-CN"/>
        </w:rPr>
        <w:t>应相应修改或补充。合同各方应</w:t>
      </w:r>
      <w:r>
        <w:rPr>
          <w:rFonts w:hint="eastAsia" w:ascii="仿宋" w:hAnsi="仿宋" w:eastAsia="仿宋"/>
          <w:sz w:val="28"/>
          <w:lang w:val="en-US" w:eastAsia="zh-CN"/>
        </w:rPr>
        <w:t>遵从</w:t>
      </w:r>
      <w:r>
        <w:rPr>
          <w:rFonts w:hint="default" w:ascii="仿宋" w:hAnsi="仿宋" w:eastAsia="仿宋"/>
          <w:sz w:val="28"/>
          <w:lang w:val="en-US" w:eastAsia="zh-CN"/>
        </w:rPr>
        <w:t>其规定。</w:t>
      </w:r>
    </w:p>
    <w:p>
      <w:pPr>
        <w:rPr>
          <w:rFonts w:hint="eastAsia" w:ascii="仿宋" w:hAnsi="仿宋" w:eastAsia="仿宋"/>
          <w:sz w:val="28"/>
          <w:lang w:val="zh-CN" w:eastAsia="zh-CN"/>
        </w:rPr>
      </w:pPr>
      <w:r>
        <w:rPr>
          <w:rFonts w:hint="eastAsia" w:ascii="仿宋" w:hAnsi="仿宋" w:eastAsia="仿宋"/>
          <w:sz w:val="28"/>
          <w:lang w:val="zh-CN" w:eastAsia="zh-CN"/>
        </w:rPr>
        <w:br w:type="page"/>
      </w:r>
    </w:p>
    <w:p>
      <w:pPr>
        <w:snapToGrid w:val="0"/>
        <w:spacing w:line="480" w:lineRule="exact"/>
        <w:ind w:firstLine="560" w:firstLineChars="200"/>
        <w:jc w:val="both"/>
        <w:rPr>
          <w:rFonts w:hint="default" w:ascii="仿宋" w:hAnsi="仿宋" w:eastAsia="仿宋"/>
          <w:sz w:val="28"/>
          <w:lang w:val="en-US" w:eastAsia="zh-CN"/>
        </w:rPr>
      </w:pPr>
    </w:p>
    <w:sdt>
      <w:sdtPr>
        <w:rPr>
          <w:rFonts w:hint="eastAsia" w:ascii="仿宋" w:hAnsi="仿宋" w:eastAsia="仿宋" w:cs="仿宋"/>
          <w:sz w:val="32"/>
          <w:szCs w:val="36"/>
        </w:rPr>
        <w:id w:val="147467686"/>
        <w15:color w:val="DBDBDB"/>
        <w:docPartObj>
          <w:docPartGallery w:val="Table of Contents"/>
          <w:docPartUnique/>
        </w:docPartObj>
      </w:sdtPr>
      <w:sdtEndPr>
        <w:rPr>
          <w:rFonts w:hint="eastAsia" w:ascii="华文中宋" w:hAnsi="华文中宋" w:eastAsia="华文中宋" w:cs="Times New Roman"/>
          <w:spacing w:val="0"/>
          <w:kern w:val="2"/>
          <w:sz w:val="21"/>
          <w:szCs w:val="20"/>
          <w:lang w:val="en-US" w:eastAsia="zh-CN" w:bidi="ar-SA"/>
        </w:rPr>
      </w:sdtEndPr>
      <w:sdtContent>
        <w:p>
          <w:pPr>
            <w:spacing w:before="0" w:beforeLines="0" w:after="0" w:afterLines="0" w:line="240" w:lineRule="auto"/>
            <w:ind w:left="0" w:leftChars="0" w:right="0" w:rightChars="0" w:firstLine="0" w:firstLineChars="0"/>
            <w:jc w:val="center"/>
            <w:rPr>
              <w:rFonts w:hint="eastAsia" w:ascii="仿宋" w:hAnsi="仿宋" w:eastAsia="仿宋" w:cs="仿宋"/>
              <w:sz w:val="32"/>
              <w:szCs w:val="36"/>
            </w:rPr>
          </w:pPr>
          <w:r>
            <w:rPr>
              <w:rFonts w:hint="eastAsia" w:ascii="仿宋" w:hAnsi="仿宋" w:eastAsia="仿宋" w:cs="仿宋"/>
              <w:sz w:val="32"/>
              <w:szCs w:val="36"/>
            </w:rPr>
            <w:t>目录</w:t>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TOC \o "1-1" \h \u </w:instrText>
          </w:r>
          <w:r>
            <w:rPr>
              <w:rFonts w:hint="eastAsia" w:ascii="仿宋" w:hAnsi="仿宋" w:eastAsia="仿宋" w:cs="仿宋"/>
              <w:spacing w:val="0"/>
              <w:kern w:val="2"/>
              <w:sz w:val="28"/>
              <w:szCs w:val="28"/>
              <w:lang w:val="en-US" w:eastAsia="zh-CN" w:bidi="ar-SA"/>
            </w:rPr>
            <w:fldChar w:fldCharType="separate"/>
          </w: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_Toc32324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第一章 双方陈述</w:t>
          </w:r>
          <w:r>
            <w:rPr>
              <w:sz w:val="28"/>
              <w:szCs w:val="28"/>
            </w:rPr>
            <w:tab/>
          </w:r>
          <w:r>
            <w:rPr>
              <w:sz w:val="28"/>
              <w:szCs w:val="28"/>
            </w:rPr>
            <w:fldChar w:fldCharType="begin"/>
          </w:r>
          <w:r>
            <w:rPr>
              <w:sz w:val="28"/>
              <w:szCs w:val="28"/>
            </w:rPr>
            <w:instrText xml:space="preserve"> PAGEREF _Toc32324 \h </w:instrText>
          </w:r>
          <w:r>
            <w:rPr>
              <w:sz w:val="28"/>
              <w:szCs w:val="28"/>
            </w:rPr>
            <w:fldChar w:fldCharType="separate"/>
          </w:r>
          <w:r>
            <w:rPr>
              <w:sz w:val="28"/>
              <w:szCs w:val="28"/>
            </w:rPr>
            <w:t>2</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_Toc3575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第二章 双方的权利和义务</w:t>
          </w:r>
          <w:r>
            <w:rPr>
              <w:sz w:val="28"/>
              <w:szCs w:val="28"/>
            </w:rPr>
            <w:tab/>
          </w:r>
          <w:r>
            <w:rPr>
              <w:sz w:val="28"/>
              <w:szCs w:val="28"/>
            </w:rPr>
            <w:fldChar w:fldCharType="begin"/>
          </w:r>
          <w:r>
            <w:rPr>
              <w:sz w:val="28"/>
              <w:szCs w:val="28"/>
            </w:rPr>
            <w:instrText xml:space="preserve"> PAGEREF _Toc3575 \h </w:instrText>
          </w:r>
          <w:r>
            <w:rPr>
              <w:sz w:val="28"/>
              <w:szCs w:val="28"/>
            </w:rPr>
            <w:fldChar w:fldCharType="separate"/>
          </w:r>
          <w:r>
            <w:rPr>
              <w:sz w:val="28"/>
              <w:szCs w:val="28"/>
            </w:rPr>
            <w:t>2</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_Toc30599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第三章 交易周期、电量、电价</w:t>
          </w:r>
          <w:r>
            <w:rPr>
              <w:sz w:val="28"/>
              <w:szCs w:val="28"/>
            </w:rPr>
            <w:tab/>
          </w:r>
          <w:r>
            <w:rPr>
              <w:sz w:val="28"/>
              <w:szCs w:val="28"/>
            </w:rPr>
            <w:fldChar w:fldCharType="begin"/>
          </w:r>
          <w:r>
            <w:rPr>
              <w:sz w:val="28"/>
              <w:szCs w:val="28"/>
            </w:rPr>
            <w:instrText xml:space="preserve"> PAGEREF _Toc30599 \h </w:instrText>
          </w:r>
          <w:r>
            <w:rPr>
              <w:sz w:val="28"/>
              <w:szCs w:val="28"/>
            </w:rPr>
            <w:fldChar w:fldCharType="separate"/>
          </w:r>
          <w:r>
            <w:rPr>
              <w:sz w:val="28"/>
              <w:szCs w:val="28"/>
            </w:rPr>
            <w:t>3</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_Toc10322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第四章 计量、结算和支付</w:t>
          </w:r>
          <w:r>
            <w:rPr>
              <w:sz w:val="28"/>
              <w:szCs w:val="28"/>
            </w:rPr>
            <w:tab/>
          </w:r>
          <w:r>
            <w:rPr>
              <w:sz w:val="28"/>
              <w:szCs w:val="28"/>
            </w:rPr>
            <w:fldChar w:fldCharType="begin"/>
          </w:r>
          <w:r>
            <w:rPr>
              <w:sz w:val="28"/>
              <w:szCs w:val="28"/>
            </w:rPr>
            <w:instrText xml:space="preserve"> PAGEREF _Toc10322 \h </w:instrText>
          </w:r>
          <w:r>
            <w:rPr>
              <w:sz w:val="28"/>
              <w:szCs w:val="28"/>
            </w:rPr>
            <w:fldChar w:fldCharType="separate"/>
          </w:r>
          <w:r>
            <w:rPr>
              <w:sz w:val="28"/>
              <w:szCs w:val="28"/>
            </w:rPr>
            <w:t>4</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_Toc26417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第五章 合同终止、合同违约及赔偿</w:t>
          </w:r>
          <w:r>
            <w:rPr>
              <w:sz w:val="28"/>
              <w:szCs w:val="28"/>
            </w:rPr>
            <w:tab/>
          </w:r>
          <w:r>
            <w:rPr>
              <w:sz w:val="28"/>
              <w:szCs w:val="28"/>
            </w:rPr>
            <w:fldChar w:fldCharType="begin"/>
          </w:r>
          <w:r>
            <w:rPr>
              <w:sz w:val="28"/>
              <w:szCs w:val="28"/>
            </w:rPr>
            <w:instrText xml:space="preserve"> PAGEREF _Toc26417 \h </w:instrText>
          </w:r>
          <w:r>
            <w:rPr>
              <w:sz w:val="28"/>
              <w:szCs w:val="28"/>
            </w:rPr>
            <w:fldChar w:fldCharType="separate"/>
          </w:r>
          <w:r>
            <w:rPr>
              <w:sz w:val="28"/>
              <w:szCs w:val="28"/>
            </w:rPr>
            <w:t>5</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_Toc10692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第六章 争议解决</w:t>
          </w:r>
          <w:r>
            <w:rPr>
              <w:sz w:val="28"/>
              <w:szCs w:val="28"/>
            </w:rPr>
            <w:tab/>
          </w:r>
          <w:r>
            <w:rPr>
              <w:sz w:val="28"/>
              <w:szCs w:val="28"/>
            </w:rPr>
            <w:fldChar w:fldCharType="begin"/>
          </w:r>
          <w:r>
            <w:rPr>
              <w:sz w:val="28"/>
              <w:szCs w:val="28"/>
            </w:rPr>
            <w:instrText xml:space="preserve"> PAGEREF _Toc10692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sz w:val="28"/>
              <w:szCs w:val="28"/>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_Toc19371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第七章 适用法律</w:t>
          </w:r>
          <w:r>
            <w:rPr>
              <w:sz w:val="28"/>
              <w:szCs w:val="28"/>
            </w:rPr>
            <w:tab/>
          </w:r>
          <w:r>
            <w:rPr>
              <w:sz w:val="28"/>
              <w:szCs w:val="28"/>
            </w:rPr>
            <w:fldChar w:fldCharType="begin"/>
          </w:r>
          <w:r>
            <w:rPr>
              <w:sz w:val="28"/>
              <w:szCs w:val="28"/>
            </w:rPr>
            <w:instrText xml:space="preserve"> PAGEREF _Toc19371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pacing w:val="0"/>
              <w:kern w:val="2"/>
              <w:sz w:val="28"/>
              <w:szCs w:val="28"/>
              <w:lang w:val="en-US" w:eastAsia="zh-CN" w:bidi="ar-SA"/>
            </w:rPr>
            <w:fldChar w:fldCharType="end"/>
          </w:r>
        </w:p>
        <w:p>
          <w:pPr>
            <w:pStyle w:val="12"/>
            <w:tabs>
              <w:tab w:val="right" w:leader="dot" w:pos="8305"/>
            </w:tabs>
            <w:rPr>
              <w:rFonts w:hint="eastAsia" w:ascii="华文中宋" w:hAnsi="华文中宋" w:eastAsia="华文中宋" w:cs="Times New Roman"/>
              <w:spacing w:val="0"/>
              <w:kern w:val="2"/>
              <w:sz w:val="21"/>
              <w:szCs w:val="20"/>
              <w:lang w:val="en-US" w:eastAsia="zh-CN" w:bidi="ar-SA"/>
            </w:rPr>
          </w:pPr>
          <w:r>
            <w:rPr>
              <w:rFonts w:hint="eastAsia" w:ascii="仿宋" w:hAnsi="仿宋" w:eastAsia="仿宋" w:cs="仿宋"/>
              <w:spacing w:val="0"/>
              <w:kern w:val="2"/>
              <w:sz w:val="28"/>
              <w:szCs w:val="28"/>
              <w:lang w:val="en-US" w:eastAsia="zh-CN" w:bidi="ar-SA"/>
            </w:rPr>
            <w:fldChar w:fldCharType="begin"/>
          </w:r>
          <w:r>
            <w:rPr>
              <w:rFonts w:hint="eastAsia" w:ascii="仿宋" w:hAnsi="仿宋" w:eastAsia="仿宋" w:cs="仿宋"/>
              <w:spacing w:val="0"/>
              <w:kern w:val="2"/>
              <w:sz w:val="28"/>
              <w:szCs w:val="28"/>
              <w:lang w:val="en-US" w:eastAsia="zh-CN" w:bidi="ar-SA"/>
            </w:rPr>
            <w:instrText xml:space="preserve"> HYPERLINK \l _Toc13189 </w:instrText>
          </w:r>
          <w:r>
            <w:rPr>
              <w:rFonts w:hint="eastAsia" w:ascii="仿宋" w:hAnsi="仿宋" w:eastAsia="仿宋" w:cs="仿宋"/>
              <w:spacing w:val="0"/>
              <w:kern w:val="2"/>
              <w:sz w:val="28"/>
              <w:szCs w:val="28"/>
              <w:lang w:val="en-US" w:eastAsia="zh-CN" w:bidi="ar-SA"/>
            </w:rPr>
            <w:fldChar w:fldCharType="separate"/>
          </w:r>
          <w:r>
            <w:rPr>
              <w:rFonts w:hint="eastAsia"/>
              <w:sz w:val="28"/>
              <w:szCs w:val="28"/>
              <w:lang w:val="en-US" w:eastAsia="zh-CN"/>
            </w:rPr>
            <w:t>第八章 其他</w:t>
          </w:r>
          <w:r>
            <w:rPr>
              <w:sz w:val="28"/>
              <w:szCs w:val="28"/>
            </w:rPr>
            <w:tab/>
          </w:r>
          <w:r>
            <w:rPr>
              <w:sz w:val="28"/>
              <w:szCs w:val="28"/>
            </w:rPr>
            <w:fldChar w:fldCharType="begin"/>
          </w:r>
          <w:r>
            <w:rPr>
              <w:sz w:val="28"/>
              <w:szCs w:val="28"/>
            </w:rPr>
            <w:instrText xml:space="preserve"> PAGEREF _Toc13189 \h </w:instrText>
          </w:r>
          <w:r>
            <w:rPr>
              <w:sz w:val="28"/>
              <w:szCs w:val="28"/>
            </w:rPr>
            <w:fldChar w:fldCharType="separate"/>
          </w:r>
          <w:r>
            <w:rPr>
              <w:sz w:val="28"/>
              <w:szCs w:val="28"/>
            </w:rPr>
            <w:t>6</w:t>
          </w:r>
          <w:r>
            <w:rPr>
              <w:sz w:val="28"/>
              <w:szCs w:val="28"/>
            </w:rPr>
            <w:fldChar w:fldCharType="end"/>
          </w:r>
          <w:r>
            <w:rPr>
              <w:rFonts w:hint="eastAsia" w:ascii="仿宋" w:hAnsi="仿宋" w:eastAsia="仿宋" w:cs="仿宋"/>
              <w:spacing w:val="0"/>
              <w:kern w:val="2"/>
              <w:sz w:val="28"/>
              <w:szCs w:val="28"/>
              <w:lang w:val="en-US" w:eastAsia="zh-CN" w:bidi="ar-SA"/>
            </w:rPr>
            <w:fldChar w:fldCharType="end"/>
          </w:r>
          <w:r>
            <w:rPr>
              <w:rFonts w:hint="eastAsia" w:ascii="仿宋" w:hAnsi="仿宋" w:eastAsia="仿宋" w:cs="仿宋"/>
              <w:spacing w:val="0"/>
              <w:kern w:val="2"/>
              <w:sz w:val="28"/>
              <w:szCs w:val="28"/>
              <w:lang w:val="en-US" w:eastAsia="zh-CN" w:bidi="ar-SA"/>
            </w:rPr>
            <w:fldChar w:fldCharType="end"/>
          </w:r>
        </w:p>
      </w:sdtContent>
    </w:sdt>
    <w:p>
      <w:pPr>
        <w:spacing w:before="120" w:after="120" w:line="288" w:lineRule="auto"/>
        <w:ind w:left="0"/>
        <w:jc w:val="center"/>
        <w:outlineLvl w:val="9"/>
        <w:rPr>
          <w:rFonts w:hint="eastAsia" w:ascii="华文中宋" w:hAnsi="华文中宋" w:eastAsia="华文中宋" w:cs="Times New Roman"/>
          <w:spacing w:val="0"/>
          <w:kern w:val="2"/>
          <w:sz w:val="21"/>
          <w:szCs w:val="20"/>
          <w:lang w:val="en-US" w:eastAsia="zh-CN" w:bidi="ar-SA"/>
        </w:rPr>
        <w:sectPr>
          <w:headerReference r:id="rId14" w:type="default"/>
          <w:footerReference r:id="rId15" w:type="default"/>
          <w:pgSz w:w="11905" w:h="16840"/>
          <w:pgNumType w:fmt="decimal" w:start="1"/>
          <w:cols w:space="720" w:num="1"/>
        </w:sectPr>
      </w:pPr>
    </w:p>
    <w:p>
      <w:pPr>
        <w:spacing w:before="120" w:after="120" w:line="288" w:lineRule="auto"/>
        <w:ind w:left="0"/>
        <w:jc w:val="center"/>
        <w:rPr>
          <w:rFonts w:hint="default" w:ascii="华文中宋" w:hAnsi="华文中宋" w:eastAsia="华文中宋" w:cs="Times New Roman"/>
          <w:b/>
          <w:spacing w:val="0"/>
          <w:kern w:val="2"/>
          <w:sz w:val="36"/>
          <w:szCs w:val="20"/>
          <w:lang w:val="en-US" w:eastAsia="zh-CN" w:bidi="ar-SA"/>
        </w:rPr>
      </w:pPr>
      <w:r>
        <w:rPr>
          <w:rFonts w:hint="eastAsia" w:ascii="华文中宋" w:hAnsi="华文中宋" w:eastAsia="华文中宋" w:cs="Times New Roman"/>
          <w:b/>
          <w:spacing w:val="0"/>
          <w:kern w:val="2"/>
          <w:sz w:val="36"/>
          <w:szCs w:val="20"/>
          <w:lang w:val="en-US" w:eastAsia="zh-CN" w:bidi="ar-SA"/>
        </w:rPr>
        <w:t>分布式光伏聚合服务合同</w:t>
      </w:r>
    </w:p>
    <w:p>
      <w:pPr>
        <w:spacing w:before="0" w:after="0" w:line="440" w:lineRule="exact"/>
        <w:ind w:left="0"/>
        <w:jc w:val="center"/>
        <w:rPr>
          <w:rFonts w:hint="eastAsia" w:ascii="华文中宋" w:hAnsi="华文中宋" w:eastAsia="华文中宋" w:cs="Times New Roman"/>
          <w:b/>
          <w:spacing w:val="0"/>
          <w:kern w:val="2"/>
          <w:sz w:val="36"/>
          <w:szCs w:val="20"/>
          <w:lang w:val="en-US" w:eastAsia="zh-CN" w:bidi="ar-SA"/>
        </w:rPr>
      </w:pPr>
    </w:p>
    <w:p>
      <w:pPr>
        <w:snapToGrid w:val="0"/>
        <w:spacing w:before="0" w:after="0" w:line="560" w:lineRule="exact"/>
        <w:ind w:left="0"/>
        <w:jc w:val="left"/>
        <w:rPr>
          <w:rFonts w:hint="eastAsia" w:ascii="仿宋" w:hAnsi="仿宋" w:eastAsia="仿宋" w:cs="Times New Roman"/>
          <w:kern w:val="2"/>
          <w:sz w:val="28"/>
          <w:szCs w:val="20"/>
          <w:u w:val="none"/>
          <w:lang w:val="en-US" w:eastAsia="zh-CN" w:bidi="ar-SA"/>
        </w:rPr>
      </w:pPr>
      <w:r>
        <w:rPr>
          <w:rFonts w:hint="eastAsia" w:ascii="仿宋" w:hAnsi="仿宋" w:eastAsia="仿宋" w:cs="Times New Roman"/>
          <w:kern w:val="2"/>
          <w:sz w:val="28"/>
          <w:szCs w:val="20"/>
          <w:lang w:val="en-US" w:eastAsia="zh-CN" w:bidi="ar-SA"/>
        </w:rPr>
        <w:t xml:space="preserve">投资方（甲方）：  </w:t>
      </w:r>
      <w:r>
        <w:rPr>
          <w:rFonts w:hint="eastAsia" w:ascii="方正小标宋_GBK" w:hAnsi="方正小标宋_GBK" w:eastAsia="方正小标宋_GBK" w:cs="方正小标宋_GBK"/>
          <w:color w:val="000000"/>
          <w:kern w:val="0"/>
          <w:sz w:val="31"/>
          <w:szCs w:val="31"/>
          <w:lang w:val="en-US" w:eastAsia="zh-CN" w:bidi="ar"/>
        </w:rPr>
        <w:t xml:space="preserve">  </w:t>
      </w:r>
    </w:p>
    <w:p>
      <w:pPr>
        <w:snapToGrid w:val="0"/>
        <w:spacing w:before="0" w:after="0" w:line="560" w:lineRule="exact"/>
        <w:ind w:left="0"/>
        <w:jc w:val="left"/>
        <w:rPr>
          <w:rFonts w:hint="eastAsia" w:ascii="仿宋" w:hAnsi="仿宋" w:eastAsia="仿宋" w:cs="Times New Roman"/>
          <w:kern w:val="2"/>
          <w:sz w:val="28"/>
          <w:szCs w:val="20"/>
          <w:u w:val="none"/>
          <w:lang w:val="en-US" w:eastAsia="zh-CN" w:bidi="ar-SA"/>
        </w:rPr>
      </w:pPr>
      <w:r>
        <w:rPr>
          <w:rFonts w:hint="eastAsia" w:ascii="仿宋" w:hAnsi="仿宋" w:eastAsia="仿宋" w:cs="Times New Roman"/>
          <w:kern w:val="2"/>
          <w:sz w:val="28"/>
          <w:szCs w:val="20"/>
          <w:lang w:val="en-US" w:eastAsia="zh-CN" w:bidi="ar-SA"/>
        </w:rPr>
        <w:t>聚合商（乙方）：</w:t>
      </w:r>
    </w:p>
    <w:p>
      <w:pPr>
        <w:snapToGrid w:val="0"/>
        <w:spacing w:before="0" w:after="0" w:line="560" w:lineRule="exact"/>
        <w:ind w:left="0"/>
        <w:jc w:val="left"/>
        <w:rPr>
          <w:rFonts w:hint="eastAsia" w:ascii="仿宋_GB2312" w:hAnsi="仿宋_GB2312" w:eastAsia="仿宋_GB2312" w:cs="仿宋_GB2312"/>
          <w:sz w:val="32"/>
          <w:szCs w:val="32"/>
        </w:rPr>
      </w:pPr>
    </w:p>
    <w:p>
      <w:pPr>
        <w:widowControl/>
        <w:snapToGrid w:val="0"/>
        <w:spacing w:before="0" w:after="0"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鉴于：</w:t>
      </w:r>
    </w:p>
    <w:p>
      <w:pPr>
        <w:widowControl/>
        <w:snapToGrid w:val="0"/>
        <w:spacing w:before="0" w:after="0"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1.甲方系合法设立并有效存续的分布式光伏投资主体，其投资建设的分布式光伏项目已完成并网验收，具备发电及参与电力市场交易的条件，并已与所在地电网企业签订正式购售电合同。</w:t>
      </w:r>
    </w:p>
    <w:p>
      <w:pPr>
        <w:widowControl/>
        <w:snapToGrid w:val="0"/>
        <w:spacing w:before="0" w:after="0"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2.乙方系合法设立并有效存续的虚拟电厂运营商，已在湖南电力交易中心有限公司完成市场注册程序，具备聚合分布式能源参与电力市场交易、提供虚拟电厂运营管理服务的资质和能力。</w:t>
      </w:r>
    </w:p>
    <w:p>
      <w:pPr>
        <w:widowControl/>
        <w:snapToGrid w:val="0"/>
        <w:spacing w:before="0" w:after="0"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3.双方根据国家有关法律、法规，依据湖南电力中长期交易规则及年度实施方案、绿色电力交易相关规则、湖南现货市场建设相关政策规则等，本着平等、自愿、公平、诚信的原则，经协商一致，签订本合同。</w:t>
      </w:r>
    </w:p>
    <w:p>
      <w:pPr>
        <w:widowControl/>
        <w:snapToGrid w:val="0"/>
        <w:spacing w:before="0" w:after="0"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4.定义与解释</w:t>
      </w:r>
    </w:p>
    <w:p>
      <w:pPr>
        <w:widowControl/>
        <w:snapToGrid w:val="0"/>
        <w:spacing w:before="0" w:after="0" w:line="480" w:lineRule="exact"/>
        <w:ind w:left="0" w:firstLine="562"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市场化交易：</w:t>
      </w:r>
      <w:r>
        <w:rPr>
          <w:rFonts w:hint="eastAsia" w:ascii="仿宋" w:hAnsi="仿宋" w:eastAsia="仿宋" w:cs="Times New Roman"/>
          <w:kern w:val="2"/>
          <w:sz w:val="28"/>
          <w:szCs w:val="20"/>
          <w:lang w:val="en-US" w:eastAsia="zh-CN" w:bidi="ar-SA"/>
        </w:rPr>
        <w:t>指湖南电力中长期交易（含绿电交易）、现货交易、绿证交易及其他电力市场交易。</w:t>
      </w:r>
    </w:p>
    <w:p>
      <w:pPr>
        <w:widowControl/>
        <w:snapToGrid w:val="0"/>
        <w:spacing w:before="0" w:after="0" w:line="480" w:lineRule="exact"/>
        <w:ind w:left="0" w:firstLine="562"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机制电量、机制电价：</w:t>
      </w:r>
      <w:r>
        <w:rPr>
          <w:rFonts w:hint="eastAsia" w:ascii="仿宋" w:hAnsi="仿宋" w:eastAsia="仿宋" w:cs="Times New Roman"/>
          <w:kern w:val="2"/>
          <w:sz w:val="28"/>
          <w:szCs w:val="20"/>
          <w:lang w:val="en-US" w:eastAsia="zh-CN" w:bidi="ar-SA"/>
        </w:rPr>
        <w:t>指按《</w:t>
      </w:r>
      <w:r>
        <w:rPr>
          <w:rFonts w:hint="eastAsia" w:ascii="仿宋" w:hAnsi="仿宋" w:eastAsia="仿宋" w:cs="Times New Roman"/>
          <w:i w:val="0"/>
          <w:iCs w:val="0"/>
          <w:caps w:val="0"/>
          <w:spacing w:val="0"/>
          <w:kern w:val="2"/>
          <w:sz w:val="28"/>
          <w:szCs w:val="20"/>
          <w:shd w:val="clear"/>
          <w:lang w:val="en-US" w:eastAsia="zh-CN" w:bidi="ar-SA"/>
        </w:rPr>
        <w:t>湖南省深化新能源上网电价市场化改革促进新能源高质量发展实施方案</w:t>
      </w:r>
      <w:r>
        <w:rPr>
          <w:rFonts w:hint="eastAsia" w:ascii="仿宋" w:hAnsi="仿宋" w:eastAsia="仿宋" w:cs="Times New Roman"/>
          <w:kern w:val="2"/>
          <w:sz w:val="28"/>
          <w:szCs w:val="20"/>
          <w:lang w:val="en-US" w:eastAsia="zh-CN" w:bidi="ar-SA"/>
        </w:rPr>
        <w:t>》（湘发改价调〔2025〕663号）执行的纳入新能源可持续发展机制的电量及对应电价。</w:t>
      </w:r>
    </w:p>
    <w:p>
      <w:pPr>
        <w:widowControl/>
        <w:snapToGrid w:val="0"/>
        <w:spacing w:before="0" w:after="0" w:line="480" w:lineRule="exact"/>
        <w:ind w:left="0" w:firstLine="562"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非机制电量：</w:t>
      </w:r>
      <w:r>
        <w:rPr>
          <w:rFonts w:hint="eastAsia" w:ascii="仿宋" w:hAnsi="仿宋" w:eastAsia="仿宋" w:cs="Times New Roman"/>
          <w:kern w:val="2"/>
          <w:sz w:val="28"/>
          <w:szCs w:val="20"/>
          <w:lang w:val="en-US" w:eastAsia="zh-CN" w:bidi="ar-SA"/>
        </w:rPr>
        <w:t>指甲方项目上网电量扣除机制电量后的部分。</w:t>
      </w:r>
    </w:p>
    <w:p>
      <w:pPr>
        <w:widowControl/>
        <w:snapToGrid w:val="0"/>
        <w:spacing w:line="480" w:lineRule="exact"/>
        <w:ind w:left="0" w:firstLine="562"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b/>
          <w:bCs/>
          <w:kern w:val="2"/>
          <w:sz w:val="28"/>
          <w:szCs w:val="20"/>
          <w:lang w:val="en-US" w:eastAsia="zh-CN" w:bidi="ar-SA"/>
        </w:rPr>
        <w:t>加权平均交易电价：</w:t>
      </w:r>
      <w:r>
        <w:rPr>
          <w:rFonts w:hint="eastAsia" w:ascii="仿宋" w:hAnsi="仿宋" w:eastAsia="仿宋" w:cs="Times New Roman"/>
          <w:kern w:val="2"/>
          <w:sz w:val="28"/>
          <w:szCs w:val="20"/>
          <w:lang w:val="en-US" w:eastAsia="zh-CN" w:bidi="ar-SA"/>
        </w:rPr>
        <w:t>指乙方代理的甲方项目当月所有市场化交易电量的加权平均成交价格（不含税）。</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p>
    <w:p>
      <w:pPr>
        <w:pStyle w:val="3"/>
        <w:bidi w:val="0"/>
        <w:jc w:val="center"/>
        <w:rPr>
          <w:rFonts w:hint="eastAsia"/>
          <w:lang w:val="en-US" w:eastAsia="zh-CN"/>
        </w:rPr>
      </w:pPr>
      <w:r>
        <w:rPr>
          <w:rFonts w:hint="eastAsia"/>
          <w:lang w:val="en-US" w:eastAsia="zh-CN"/>
        </w:rPr>
        <w:t>第一章 双方陈述</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甲、乙双方任何一方在此向对方陈述如下：</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1.1本方为一家依法设立并合法存续的企业，有权签署并有能力履行本合同。</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1.2本方签署和履行本合同所需的一切手续（包括办理必要的政府批准、取得营业执照等）均已办理完毕并合法有效。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1.3在签署本合同时，人民法院、仲裁机构、行政机关均未做出过任何足以对本方履行本合同产生重大不利影响的判决、裁定、裁决或具体行政行为。</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1.4本方为签署本合同所需的内部授权程序均已完成，签署本合同的是本方法定代表人或授权代理人，并且本合同生效后即对双方具有法律约束力。</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1.5本方签署的合同内容符合国家有关市场交易的法律、法规以及政策等。</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1.6如国家法律、法规发生变化或者政府有关部门出台有关规定、规则，合同双方同意按照法律、法规、规定和规则予以调整和修改。</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1.7甲方承诺在同一合同周期内，仅能与一家聚合商建立聚合代理服务关系。</w:t>
      </w:r>
    </w:p>
    <w:p>
      <w:pPr>
        <w:pStyle w:val="3"/>
        <w:bidi w:val="0"/>
        <w:jc w:val="center"/>
        <w:rPr>
          <w:rFonts w:hint="eastAsia"/>
          <w:lang w:val="en-US" w:eastAsia="zh-CN"/>
        </w:rPr>
      </w:pPr>
      <w:r>
        <w:rPr>
          <w:rFonts w:hint="eastAsia"/>
          <w:lang w:val="en-US" w:eastAsia="zh-CN"/>
        </w:rPr>
        <w:t>第二章 双方的权利和义务</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2.1甲方的权利包括：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2.1.1获得乙方履行本合同义务相关的信息、资料。</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2.2甲方的义务包括：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2.2.1根据预测上网电量，年度交易前，向乙方提供代理合同意向电量并在合同中明确。</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2.2.2向乙方提供与履行本合同相关的其他信息。配合乙方、电网企业及电力交易中心进行电力（电量）交易、电费结算、数据统计等工作。</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2.2.3为做好电量聚合工作，甲方需提供分布式新能源项目的发、用电数据。</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2.3乙方的权利包括：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2.3.1获得甲方提供履行本合同义务相关的信息、资料及查阅关口计量数据。</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2.3.2查阅甲方实际的电费核查联、结算单（与市场化相关部分）。</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2.3.3有权要求甲方及时通报自身的发电项目并网、转让、关停或搬迁等可能影响电力市场交易的情况。</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2.4乙方的义务包括：</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2.4.1按照湖南电力市场相关规则，聚合分布式新能源参与电力市场交易，并按规定结算。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2.4.2向甲方提供真实准确的信息及资料，不得提供虚假的或误导性的信息。</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2.4.3协助甲方申请办理聚合交易、电力市场交易有关手续。</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2.4.4向甲方、电网企业及电力交易中心提供与履行本合同相关的其他信息。</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2.4.5根据有关法规支付电力交易相关费用。</w:t>
      </w:r>
    </w:p>
    <w:p>
      <w:pPr>
        <w:pStyle w:val="3"/>
        <w:bidi w:val="0"/>
        <w:jc w:val="center"/>
        <w:rPr>
          <w:rFonts w:hint="eastAsia"/>
          <w:lang w:val="en-US" w:eastAsia="zh-CN"/>
        </w:rPr>
      </w:pPr>
      <w:r>
        <w:rPr>
          <w:rFonts w:hint="eastAsia"/>
          <w:lang w:val="en-US" w:eastAsia="zh-CN"/>
        </w:rPr>
        <w:t>第三章 交易周期、电量、电价</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3.1本合同执行期自</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年</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月</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日（如在此日期前未完成聚合交易，则以实际完成聚合交易日期次月1日作为合同开始执行之日）至</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年</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月</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日，最小执行周期为</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个月。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3.2甲方上网电量由乙方聚合后参加绿色电力交易。其中，绿电交易电能量与绿色电力环境价值分开结算。结算绿色电力环境价值对应电量按当月合同电量、发电企业上网电量(扣除机制电量)、电力用户用电量三者取小的原则确定结算电量（以兆瓦时为单位取整）。</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3.3 关于价格：甲方上网电量（扣除机制电量），以月度为结算周期，是否参与绿电交易，甲乙双方协商确定。</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3.4收益分配方式</w:t>
      </w:r>
    </w:p>
    <w:p>
      <w:pPr>
        <w:widowControl/>
        <w:snapToGrid w:val="0"/>
        <w:spacing w:line="480" w:lineRule="exact"/>
        <w:ind w:left="0" w:firstLine="560" w:firstLineChars="200"/>
        <w:jc w:val="both"/>
        <w:rPr>
          <w:rFonts w:hint="eastAsia" w:ascii="仿宋" w:hAnsi="仿宋" w:eastAsia="仿宋" w:cs="Times New Roman"/>
          <w:kern w:val="2"/>
          <w:sz w:val="28"/>
          <w:szCs w:val="20"/>
          <w:highlight w:val="none"/>
          <w:lang w:val="en-US" w:eastAsia="zh-CN" w:bidi="ar-SA"/>
        </w:rPr>
      </w:pPr>
      <w:r>
        <w:rPr>
          <w:rFonts w:hint="eastAsia" w:ascii="仿宋" w:hAnsi="仿宋" w:eastAsia="仿宋" w:cs="Times New Roman"/>
          <w:kern w:val="2"/>
          <w:sz w:val="28"/>
          <w:szCs w:val="20"/>
          <w:highlight w:val="none"/>
          <w:lang w:val="en-US" w:eastAsia="zh-CN" w:bidi="ar-SA"/>
        </w:rPr>
        <w:t>经甲乙双方协商，选择方式</w:t>
      </w:r>
      <w:r>
        <w:rPr>
          <w:rFonts w:hint="eastAsia" w:ascii="仿宋" w:hAnsi="仿宋" w:eastAsia="仿宋" w:cs="Times New Roman"/>
          <w:kern w:val="2"/>
          <w:sz w:val="28"/>
          <w:szCs w:val="20"/>
          <w:highlight w:val="none"/>
          <w:u w:val="single"/>
          <w:lang w:val="en-US" w:eastAsia="zh-CN" w:bidi="ar-SA"/>
        </w:rPr>
        <w:t xml:space="preserve">     </w:t>
      </w:r>
      <w:r>
        <w:rPr>
          <w:rFonts w:hint="eastAsia" w:ascii="仿宋" w:hAnsi="仿宋" w:eastAsia="仿宋" w:cs="Times New Roman"/>
          <w:kern w:val="2"/>
          <w:sz w:val="28"/>
          <w:szCs w:val="20"/>
          <w:highlight w:val="none"/>
          <w:lang w:val="en-US" w:eastAsia="zh-CN" w:bidi="ar-SA"/>
        </w:rPr>
        <w:t>套餐。</w:t>
      </w:r>
    </w:p>
    <w:p>
      <w:pPr>
        <w:widowControl/>
        <w:snapToGrid w:val="0"/>
        <w:spacing w:line="480" w:lineRule="exact"/>
        <w:ind w:left="0" w:firstLine="560" w:firstLineChars="200"/>
        <w:jc w:val="both"/>
        <w:rPr>
          <w:rFonts w:hint="eastAsia" w:ascii="仿宋" w:hAnsi="仿宋" w:eastAsia="仿宋" w:cs="Times New Roman"/>
          <w:kern w:val="2"/>
          <w:sz w:val="28"/>
          <w:szCs w:val="20"/>
          <w:highlight w:val="none"/>
          <w:lang w:val="en-US" w:eastAsia="zh-CN" w:bidi="ar-SA"/>
        </w:rPr>
      </w:pPr>
      <w:r>
        <w:rPr>
          <w:rFonts w:hint="eastAsia" w:ascii="仿宋" w:hAnsi="仿宋" w:eastAsia="仿宋" w:cs="Times New Roman"/>
          <w:kern w:val="2"/>
          <w:sz w:val="28"/>
          <w:szCs w:val="20"/>
          <w:highlight w:val="none"/>
          <w:lang w:val="en-US" w:eastAsia="zh-CN" w:bidi="ar-SA"/>
        </w:rPr>
        <w:t>方式一：服务费套餐，其</w:t>
      </w:r>
      <w:r>
        <w:rPr>
          <w:rFonts w:hint="eastAsia" w:ascii="仿宋" w:hAnsi="仿宋" w:eastAsia="仿宋" w:cs="Times New Roman"/>
          <w:color w:val="000000"/>
          <w:spacing w:val="0"/>
          <w:kern w:val="2"/>
          <w:sz w:val="28"/>
          <w:szCs w:val="20"/>
          <w:highlight w:val="none"/>
          <w:lang w:val="en-US" w:eastAsia="zh-CN"/>
        </w:rPr>
        <w:t>聚合资源主体与虚拟电厂约定</w:t>
      </w:r>
      <w:r>
        <w:rPr>
          <w:rFonts w:hint="eastAsia" w:ascii="仿宋" w:hAnsi="仿宋" w:eastAsia="仿宋" w:cs="Times New Roman"/>
          <w:color w:val="000000"/>
          <w:spacing w:val="0"/>
          <w:kern w:val="2"/>
          <w:sz w:val="28"/>
          <w:szCs w:val="20"/>
          <w:highlight w:val="none"/>
          <w:lang w:eastAsia="zh-CN"/>
        </w:rPr>
        <w:t>的</w:t>
      </w:r>
      <w:r>
        <w:rPr>
          <w:rFonts w:hint="eastAsia" w:ascii="仿宋" w:hAnsi="仿宋" w:eastAsia="仿宋" w:cs="Times New Roman"/>
          <w:color w:val="000000"/>
          <w:spacing w:val="0"/>
          <w:kern w:val="2"/>
          <w:sz w:val="28"/>
          <w:szCs w:val="20"/>
          <w:highlight w:val="none"/>
          <w:lang w:val="en-US" w:eastAsia="zh-CN"/>
        </w:rPr>
        <w:t>代理服务价格P</w:t>
      </w:r>
      <w:r>
        <w:rPr>
          <w:rFonts w:hint="eastAsia" w:ascii="仿宋" w:hAnsi="仿宋" w:eastAsia="仿宋" w:cs="Times New Roman"/>
          <w:color w:val="000000"/>
          <w:spacing w:val="0"/>
          <w:kern w:val="2"/>
          <w:sz w:val="28"/>
          <w:szCs w:val="20"/>
          <w:highlight w:val="none"/>
          <w:vertAlign w:val="subscript"/>
          <w:lang w:val="en-US" w:eastAsia="zh-CN"/>
        </w:rPr>
        <w:t>服务</w:t>
      </w:r>
      <w:r>
        <w:rPr>
          <w:rFonts w:hint="eastAsia" w:ascii="仿宋" w:hAnsi="仿宋" w:eastAsia="仿宋" w:cs="Times New Roman"/>
          <w:color w:val="000000"/>
          <w:spacing w:val="0"/>
          <w:kern w:val="2"/>
          <w:sz w:val="28"/>
          <w:szCs w:val="20"/>
          <w:highlight w:val="none"/>
          <w:lang w:val="en-US" w:eastAsia="zh-CN"/>
        </w:rPr>
        <w:t>为</w:t>
      </w:r>
      <w:r>
        <w:rPr>
          <w:rFonts w:hint="eastAsia" w:ascii="仿宋" w:hAnsi="仿宋" w:eastAsia="仿宋" w:cs="Times New Roman"/>
          <w:kern w:val="2"/>
          <w:sz w:val="28"/>
          <w:szCs w:val="20"/>
          <w:highlight w:val="none"/>
          <w:u w:val="single"/>
          <w:lang w:val="en-US" w:eastAsia="zh-CN" w:bidi="ar-SA"/>
        </w:rPr>
        <w:t>_    _</w:t>
      </w:r>
      <w:r>
        <w:rPr>
          <w:rFonts w:hint="eastAsia" w:ascii="仿宋" w:hAnsi="仿宋" w:eastAsia="仿宋" w:cs="Times New Roman"/>
          <w:kern w:val="2"/>
          <w:sz w:val="28"/>
          <w:szCs w:val="20"/>
          <w:highlight w:val="none"/>
          <w:u w:val="none"/>
          <w:lang w:val="en-US" w:eastAsia="zh-CN" w:bidi="ar-SA"/>
        </w:rPr>
        <w:t>元/兆瓦时</w:t>
      </w:r>
      <w:r>
        <w:rPr>
          <w:rFonts w:hint="eastAsia" w:ascii="仿宋" w:hAnsi="仿宋" w:eastAsia="仿宋" w:cs="Times New Roman"/>
          <w:kern w:val="2"/>
          <w:sz w:val="28"/>
          <w:szCs w:val="20"/>
          <w:highlight w:val="none"/>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highlight w:val="none"/>
          <w:lang w:val="en-US" w:eastAsia="zh-CN" w:bidi="ar-SA"/>
        </w:rPr>
      </w:pPr>
      <w:r>
        <w:rPr>
          <w:rFonts w:hint="eastAsia" w:ascii="仿宋" w:hAnsi="仿宋" w:eastAsia="仿宋" w:cs="Times New Roman"/>
          <w:kern w:val="2"/>
          <w:sz w:val="28"/>
          <w:szCs w:val="20"/>
          <w:highlight w:val="none"/>
          <w:lang w:val="en-US" w:eastAsia="zh-CN" w:bidi="ar-SA"/>
        </w:rPr>
        <w:t>方式二：联动价格套餐，</w:t>
      </w:r>
      <w:r>
        <w:rPr>
          <w:rFonts w:hint="eastAsia" w:ascii="仿宋" w:hAnsi="仿宋" w:eastAsia="仿宋" w:cs="Times New Roman"/>
          <w:kern w:val="2"/>
          <w:sz w:val="28"/>
          <w:szCs w:val="20"/>
          <w:highlight w:val="none"/>
          <w:lang w:val="en-US" w:eastAsia="zh-CN"/>
        </w:rPr>
        <w:t>中长期价格系数a</w:t>
      </w:r>
      <w:r>
        <w:rPr>
          <w:rFonts w:hint="eastAsia" w:ascii="仿宋" w:hAnsi="仿宋" w:eastAsia="仿宋" w:cs="Times New Roman"/>
          <w:kern w:val="2"/>
          <w:sz w:val="28"/>
          <w:szCs w:val="20"/>
          <w:highlight w:val="none"/>
          <w:vertAlign w:val="subscript"/>
          <w:lang w:val="en-US" w:eastAsia="zh-CN"/>
        </w:rPr>
        <w:t>2</w:t>
      </w:r>
      <w:r>
        <w:rPr>
          <w:rFonts w:hint="eastAsia" w:ascii="仿宋" w:hAnsi="仿宋" w:eastAsia="仿宋" w:cs="Times New Roman"/>
          <w:kern w:val="2"/>
          <w:sz w:val="28"/>
          <w:szCs w:val="20"/>
          <w:highlight w:val="none"/>
          <w:lang w:val="en-US" w:eastAsia="zh-CN" w:bidi="ar-SA"/>
        </w:rPr>
        <w:t>为</w:t>
      </w:r>
      <w:r>
        <w:rPr>
          <w:rFonts w:hint="eastAsia" w:ascii="仿宋" w:hAnsi="仿宋" w:eastAsia="仿宋" w:cs="Times New Roman"/>
          <w:kern w:val="2"/>
          <w:sz w:val="28"/>
          <w:szCs w:val="20"/>
          <w:highlight w:val="none"/>
          <w:u w:val="single"/>
          <w:lang w:val="en-US" w:eastAsia="zh-CN" w:bidi="ar-SA"/>
        </w:rPr>
        <w:t xml:space="preserve">    </w:t>
      </w:r>
      <w:r>
        <w:rPr>
          <w:rFonts w:hint="eastAsia" w:ascii="仿宋" w:hAnsi="仿宋" w:eastAsia="仿宋" w:cs="Times New Roman"/>
          <w:kern w:val="2"/>
          <w:sz w:val="28"/>
          <w:szCs w:val="20"/>
          <w:highlight w:val="none"/>
          <w:lang w:val="en-US" w:eastAsia="zh-CN" w:bidi="ar-SA"/>
        </w:rPr>
        <w:t>。</w:t>
      </w:r>
    </w:p>
    <w:p>
      <w:pPr>
        <w:widowControl/>
        <w:snapToGrid w:val="0"/>
        <w:spacing w:line="480" w:lineRule="exact"/>
        <w:ind w:left="0" w:firstLine="560" w:firstLineChars="200"/>
        <w:jc w:val="both"/>
        <w:rPr>
          <w:rFonts w:hint="default" w:ascii="仿宋" w:hAnsi="仿宋" w:eastAsia="仿宋" w:cs="Times New Roman"/>
          <w:kern w:val="2"/>
          <w:sz w:val="28"/>
          <w:szCs w:val="20"/>
          <w:highlight w:val="none"/>
          <w:u w:val="none"/>
          <w:lang w:val="en-US" w:eastAsia="zh-CN" w:bidi="ar-SA"/>
        </w:rPr>
      </w:pPr>
      <w:r>
        <w:rPr>
          <w:rFonts w:hint="eastAsia" w:ascii="仿宋" w:hAnsi="仿宋" w:eastAsia="仿宋" w:cs="Times New Roman"/>
          <w:kern w:val="2"/>
          <w:sz w:val="28"/>
          <w:szCs w:val="20"/>
          <w:highlight w:val="none"/>
          <w:lang w:val="en-US" w:eastAsia="zh-CN" w:bidi="ar-SA"/>
        </w:rPr>
        <w:t>注：虚拟电厂服务费</w:t>
      </w:r>
      <w:r>
        <w:rPr>
          <w:rFonts w:hint="eastAsia" w:ascii="仿宋" w:hAnsi="仿宋" w:eastAsia="仿宋" w:cs="Times New Roman"/>
          <w:color w:val="000000"/>
          <w:spacing w:val="0"/>
          <w:kern w:val="2"/>
          <w:sz w:val="28"/>
          <w:szCs w:val="20"/>
          <w:highlight w:val="none"/>
          <w:lang w:val="en-US" w:eastAsia="zh-CN"/>
        </w:rPr>
        <w:t>P</w:t>
      </w:r>
      <w:r>
        <w:rPr>
          <w:rFonts w:hint="eastAsia" w:ascii="仿宋" w:hAnsi="仿宋" w:eastAsia="仿宋" w:cs="Times New Roman"/>
          <w:color w:val="000000"/>
          <w:spacing w:val="0"/>
          <w:kern w:val="2"/>
          <w:sz w:val="28"/>
          <w:szCs w:val="20"/>
          <w:highlight w:val="none"/>
          <w:vertAlign w:val="subscript"/>
          <w:lang w:val="en-US" w:eastAsia="zh-CN"/>
        </w:rPr>
        <w:t>服务</w:t>
      </w:r>
      <w:r>
        <w:rPr>
          <w:rFonts w:hint="eastAsia" w:ascii="仿宋" w:hAnsi="仿宋" w:eastAsia="仿宋" w:cs="Times New Roman"/>
          <w:kern w:val="2"/>
          <w:sz w:val="28"/>
          <w:szCs w:val="20"/>
          <w:highlight w:val="none"/>
          <w:lang w:val="en-US" w:eastAsia="zh-CN" w:bidi="ar-SA"/>
        </w:rPr>
        <w:t>不得超过20元/兆瓦时</w:t>
      </w:r>
      <w:r>
        <w:rPr>
          <w:rFonts w:hint="eastAsia" w:ascii="仿宋" w:hAnsi="仿宋" w:eastAsia="仿宋" w:cs="Times New Roman"/>
          <w:kern w:val="2"/>
          <w:sz w:val="28"/>
          <w:szCs w:val="20"/>
          <w:highlight w:val="none"/>
          <w:u w:val="none"/>
          <w:lang w:val="en-US" w:eastAsia="zh-CN" w:bidi="ar-SA"/>
        </w:rPr>
        <w:t>，联动价格套餐的中长期价格系数范围为</w:t>
      </w:r>
      <w:r>
        <w:rPr>
          <w:rFonts w:hint="eastAsia" w:ascii="仿宋" w:hAnsi="仿宋" w:eastAsia="仿宋" w:cs="Times New Roman"/>
          <w:color w:val="000000"/>
          <w:kern w:val="2"/>
          <w:sz w:val="28"/>
          <w:szCs w:val="20"/>
          <w:highlight w:val="none"/>
          <w:u w:val="none"/>
          <w:lang w:val="en-US" w:eastAsia="zh-CN"/>
        </w:rPr>
        <w:t>60%×</w:t>
      </w:r>
      <w:r>
        <w:rPr>
          <w:rFonts w:hint="eastAsia" w:ascii="仿宋" w:hAnsi="仿宋" w:eastAsia="仿宋" w:cs="Times New Roman"/>
          <w:snapToGrid w:val="0"/>
          <w:color w:val="000000"/>
          <w:kern w:val="2"/>
          <w:sz w:val="28"/>
          <w:szCs w:val="20"/>
          <w:highlight w:val="none"/>
          <w:u w:val="none"/>
          <w:lang w:val="en-US" w:eastAsia="zh-CN" w:bidi="ar-SA"/>
        </w:rPr>
        <w:t>（</w:t>
      </w:r>
      <w:r>
        <w:rPr>
          <w:rFonts w:hint="eastAsia" w:ascii="仿宋" w:hAnsi="仿宋" w:eastAsia="仿宋" w:cs="Times New Roman"/>
          <w:color w:val="000000"/>
          <w:spacing w:val="0"/>
          <w:kern w:val="2"/>
          <w:sz w:val="28"/>
          <w:szCs w:val="20"/>
          <w:highlight w:val="none"/>
          <w:u w:val="none"/>
          <w:vertAlign w:val="baseline"/>
          <w:lang w:val="en-US" w:eastAsia="zh-CN"/>
        </w:rPr>
        <w:t>1</w:t>
      </w:r>
      <w:r>
        <w:rPr>
          <w:rFonts w:hint="eastAsia" w:ascii="仿宋" w:hAnsi="仿宋" w:eastAsia="仿宋" w:cs="Times New Roman"/>
          <w:color w:val="000000"/>
          <w:kern w:val="2"/>
          <w:sz w:val="28"/>
          <w:szCs w:val="20"/>
          <w:highlight w:val="none"/>
          <w:u w:val="none"/>
          <w:lang w:val="en-US" w:eastAsia="zh-CN"/>
        </w:rPr>
        <w:t>-</w:t>
      </w:r>
      <w:r>
        <w:rPr>
          <w:rFonts w:hint="eastAsia" w:ascii="仿宋" w:hAnsi="仿宋" w:eastAsia="仿宋" w:cs="Times New Roman"/>
          <w:color w:val="000000"/>
          <w:spacing w:val="0"/>
          <w:kern w:val="2"/>
          <w:sz w:val="28"/>
          <w:szCs w:val="20"/>
          <w:highlight w:val="none"/>
          <w:u w:val="none"/>
          <w:lang w:val="en-US" w:eastAsia="zh-CN"/>
        </w:rPr>
        <w:t>该聚合资源主体机制电量比例</w:t>
      </w:r>
      <w:r>
        <w:rPr>
          <w:rFonts w:hint="eastAsia" w:ascii="仿宋" w:hAnsi="仿宋" w:eastAsia="仿宋" w:cs="Times New Roman"/>
          <w:color w:val="000000"/>
          <w:kern w:val="2"/>
          <w:sz w:val="28"/>
          <w:szCs w:val="20"/>
          <w:highlight w:val="none"/>
          <w:u w:val="none"/>
          <w:lang w:eastAsia="zh-CN"/>
        </w:rPr>
        <w:t>）</w:t>
      </w:r>
      <w:r>
        <w:rPr>
          <w:rFonts w:hint="eastAsia" w:ascii="仿宋" w:hAnsi="仿宋" w:eastAsia="仿宋" w:cs="Times New Roman"/>
          <w:color w:val="000000"/>
          <w:spacing w:val="0"/>
          <w:kern w:val="2"/>
          <w:sz w:val="28"/>
          <w:szCs w:val="20"/>
          <w:highlight w:val="none"/>
          <w:u w:val="none"/>
          <w:vertAlign w:val="baseline"/>
          <w:lang w:val="en-US" w:eastAsia="zh-CN"/>
        </w:rPr>
        <w:t>≦</w:t>
      </w:r>
      <w:r>
        <w:rPr>
          <w:rFonts w:hint="eastAsia" w:ascii="仿宋" w:hAnsi="仿宋" w:eastAsia="仿宋" w:cs="Times New Roman"/>
          <w:kern w:val="2"/>
          <w:sz w:val="28"/>
          <w:szCs w:val="20"/>
          <w:highlight w:val="none"/>
          <w:lang w:val="en-US" w:eastAsia="zh-CN"/>
        </w:rPr>
        <w:t>a</w:t>
      </w:r>
      <w:r>
        <w:rPr>
          <w:rFonts w:hint="eastAsia" w:ascii="仿宋" w:hAnsi="仿宋" w:eastAsia="仿宋" w:cs="Times New Roman"/>
          <w:kern w:val="2"/>
          <w:sz w:val="28"/>
          <w:szCs w:val="20"/>
          <w:highlight w:val="none"/>
          <w:vertAlign w:val="subscript"/>
          <w:lang w:val="en-US" w:eastAsia="zh-CN"/>
        </w:rPr>
        <w:t>2</w:t>
      </w:r>
      <w:r>
        <w:rPr>
          <w:rFonts w:hint="eastAsia" w:ascii="仿宋" w:hAnsi="仿宋" w:eastAsia="仿宋" w:cs="Times New Roman"/>
          <w:color w:val="000000"/>
          <w:spacing w:val="0"/>
          <w:kern w:val="2"/>
          <w:sz w:val="28"/>
          <w:szCs w:val="20"/>
          <w:highlight w:val="none"/>
          <w:u w:val="none"/>
          <w:vertAlign w:val="baseline"/>
          <w:lang w:val="en-US" w:eastAsia="zh-CN"/>
        </w:rPr>
        <w:t>≦100%</w:t>
      </w:r>
      <w:r>
        <w:rPr>
          <w:rFonts w:hint="eastAsia" w:ascii="仿宋" w:hAnsi="仿宋" w:eastAsia="仿宋" w:cs="Times New Roman"/>
          <w:kern w:val="2"/>
          <w:sz w:val="28"/>
          <w:szCs w:val="20"/>
          <w:highlight w:val="none"/>
          <w:u w:val="none"/>
          <w:lang w:val="en-US" w:eastAsia="zh-CN" w:bidi="ar-SA"/>
        </w:rPr>
        <w:t>。批发侧电能量费用、偏差考核相关费用按湖南电力市场结算规则执行。</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3.5合同执行期内，甲方预计参加聚合交易电量为</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兆</w:t>
      </w:r>
    </w:p>
    <w:p>
      <w:pPr>
        <w:widowControl/>
        <w:snapToGrid w:val="0"/>
        <w:spacing w:line="480" w:lineRule="exact"/>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瓦时，</w:t>
      </w:r>
      <w:r>
        <w:rPr>
          <w:rFonts w:hint="eastAsia" w:ascii="仿宋" w:hAnsi="仿宋" w:eastAsia="仿宋" w:cs="Times New Roman"/>
          <w:kern w:val="2"/>
          <w:sz w:val="28"/>
          <w:szCs w:val="20"/>
          <w:highlight w:val="none"/>
          <w:lang w:val="en-US" w:eastAsia="zh-CN" w:bidi="ar-SA"/>
        </w:rPr>
        <w:t>甲方按规则向乙方提供历史发电数据作为参考。</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3.6 甲方各时段机制电量按照相关规定结算。乙方通过聚合甲方分布式新能源上网电量的模式参与电力批发市场交易。</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3.7 乙方完成电力市场交易后，应及时将交易结果通知甲方。</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3.8 电能量部分按照湖南省内市场交易规则开展结算。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3.9 合同有效期内，因国家或湖南省电力市场相关政策、法规发生重大调整，导致合同无法执行时，按国家或湖南省相关政策法规执行。</w:t>
      </w:r>
    </w:p>
    <w:p>
      <w:pPr>
        <w:pStyle w:val="3"/>
        <w:bidi w:val="0"/>
        <w:jc w:val="center"/>
        <w:rPr>
          <w:rFonts w:hint="eastAsia"/>
          <w:lang w:val="en-US" w:eastAsia="zh-CN"/>
        </w:rPr>
      </w:pPr>
      <w:r>
        <w:rPr>
          <w:rFonts w:hint="eastAsia"/>
          <w:lang w:val="en-US" w:eastAsia="zh-CN"/>
        </w:rPr>
        <w:t>第四章 计量、结算和支付</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4.1甲方的计量点按照甲方与电网企业签订的购售电合同执行，不再另行约定电力交易计量点。</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4.2在本合同执行周期内，按照各相关交易规则进行结算。如交易规则暂未明确规定，依据本合同相关约定进行结算。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4.3甲方的结算电量依据当月实际计量电量确定，当月甲方实际上网电量与当月实际参与聚合交易电量存在偏差时，偏差电量按照交易规则确定并结算。</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4.4甲方的电费收取方式，保持现有电网企业支付的方式不变，其中甲方支付给乙方的聚合代理费用，可以直接在电网企业支付的上网电费中扣减。乙方的聚合代理费用收取方式，同甲方的电费收取方式一致。</w:t>
      </w:r>
    </w:p>
    <w:p>
      <w:pPr>
        <w:widowControl/>
        <w:snapToGrid w:val="0"/>
        <w:spacing w:line="480" w:lineRule="exact"/>
        <w:ind w:left="0" w:firstLine="560" w:firstLineChars="200"/>
        <w:jc w:val="both"/>
        <w:rPr>
          <w:rFonts w:hint="eastAsia" w:ascii="仿宋" w:hAnsi="仿宋" w:eastAsia="仿宋" w:cs="Times New Roman"/>
          <w:kern w:val="2"/>
          <w:sz w:val="28"/>
          <w:szCs w:val="20"/>
          <w:u w:val="single"/>
          <w:lang w:val="en-US" w:eastAsia="zh-CN" w:bidi="ar-SA"/>
        </w:rPr>
      </w:pPr>
      <w:r>
        <w:rPr>
          <w:rFonts w:hint="eastAsia" w:ascii="仿宋" w:hAnsi="仿宋" w:eastAsia="仿宋" w:cs="Times New Roman"/>
          <w:kern w:val="2"/>
          <w:sz w:val="28"/>
          <w:szCs w:val="20"/>
          <w:lang w:val="en-US" w:eastAsia="zh-CN" w:bidi="ar-SA"/>
        </w:rPr>
        <w:t>4.5其他补充约定：</w:t>
      </w:r>
      <w:r>
        <w:rPr>
          <w:rFonts w:hint="eastAsia" w:ascii="仿宋" w:hAnsi="仿宋" w:eastAsia="仿宋" w:cs="Times New Roman"/>
          <w:kern w:val="2"/>
          <w:sz w:val="28"/>
          <w:szCs w:val="20"/>
          <w:u w:val="single"/>
          <w:lang w:val="en-US" w:eastAsia="zh-CN" w:bidi="ar-SA"/>
        </w:rPr>
        <w:t xml:space="preserve">       </w:t>
      </w:r>
    </w:p>
    <w:p>
      <w:pPr>
        <w:widowControl/>
        <w:numPr>
          <w:ilvl w:val="0"/>
          <w:numId w:val="2"/>
        </w:numPr>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（3）</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pStyle w:val="3"/>
        <w:bidi w:val="0"/>
        <w:jc w:val="center"/>
        <w:rPr>
          <w:rFonts w:hint="eastAsia"/>
          <w:lang w:val="en-US" w:eastAsia="zh-CN"/>
        </w:rPr>
      </w:pPr>
      <w:r>
        <w:rPr>
          <w:rFonts w:hint="eastAsia"/>
          <w:lang w:val="en-US" w:eastAsia="zh-CN"/>
        </w:rPr>
        <w:t>第五章 合同终止、合同违约及赔偿</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5.1 本合同的任何修改、补充或变更必须以书面的形式进行，双方盖章后方为有效。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5.2 本合同到期（包括合同自然到期、合同提前终止等情形），甲方未及时完成下一个合同周期聚合交易，选择方式</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处理。</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方式 1：自动解除，任何一方提前未经对方同意解除合同视为违约；</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方式 2：按自然月滚动续约，发生以下两种情形的</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取消滚动续约：</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（1）合同双方在协商一致情况下主动取消；</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（2）合同甲方完成下一个合同周期聚合交易。</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5.3 如因任一方责任，没有及时完成本合同在交易中心的备案或其他相关执行手续，导致本合同无法执行，双方协商确定赔偿金额。</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5.4 在合同实际开始执行前的 31 日前，任一方可单方面提出解约，并向交易中心及对方出具解约声明，5 日后本合同自行解约，无需承担解约责任。</w:t>
      </w:r>
    </w:p>
    <w:p>
      <w:pPr>
        <w:pStyle w:val="3"/>
        <w:bidi w:val="0"/>
        <w:jc w:val="center"/>
        <w:rPr>
          <w:rFonts w:hint="eastAsia"/>
          <w:lang w:val="en-US" w:eastAsia="zh-CN"/>
        </w:rPr>
      </w:pPr>
      <w:r>
        <w:rPr>
          <w:rFonts w:hint="eastAsia"/>
          <w:lang w:val="en-US" w:eastAsia="zh-CN"/>
        </w:rPr>
        <w:t>第六章 争议解决</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凡因执行本合同所发生的与本合同有关的一切争议，双方应协商解决；协商不成，按以下第</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种方式处理：</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(1)双方同意提请</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(甲方/乙方)所在地仲裁委员会，请求按照其仲裁规则进行仲裁。仲裁裁决是终局的，对双方均具有法律约束力。</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(2)任何一方依法提请</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(甲方/乙方)所在地人民法院通过诉讼程序解决。</w:t>
      </w:r>
    </w:p>
    <w:p>
      <w:pPr>
        <w:pStyle w:val="3"/>
        <w:bidi w:val="0"/>
        <w:jc w:val="center"/>
        <w:rPr>
          <w:rFonts w:hint="eastAsia"/>
          <w:lang w:val="en-US" w:eastAsia="zh-CN"/>
        </w:rPr>
      </w:pPr>
      <w:r>
        <w:rPr>
          <w:rFonts w:hint="eastAsia"/>
          <w:lang w:val="en-US" w:eastAsia="zh-CN"/>
        </w:rPr>
        <w:t>第七章 适用法律</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本合同的订立、效力、解释、履行和争议的解决均适用中华人民共和国法律。</w:t>
      </w:r>
    </w:p>
    <w:p>
      <w:pPr>
        <w:pStyle w:val="3"/>
        <w:bidi w:val="0"/>
        <w:jc w:val="center"/>
        <w:rPr>
          <w:rFonts w:hint="eastAsia"/>
          <w:lang w:val="en-US" w:eastAsia="zh-CN"/>
        </w:rPr>
      </w:pPr>
      <w:r>
        <w:rPr>
          <w:rFonts w:hint="eastAsia"/>
          <w:lang w:val="en-US" w:eastAsia="zh-CN"/>
        </w:rPr>
        <w:t>第八章 其他</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8.1本合同为甲乙双方就本合同标的达成的参与湖南电力市场的全部协议，并作为电力交易中心执行的唯一认定合同。</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8.2 双方保证对从另一方取得且无法自公开渠道获得的资料和文件予以保密。未经该资料和文件的原提供方同意，另一方不得向任何第三方泄露该资料和文件的全部或部分内容。但国家另有规定的除外。</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8.3 本合同的附件是本合同不可缺少的组成部分，与本合同具有同等法律效力。如果采用上述原则后分歧和矛盾仍然存在，则由双方本着诚实信用的原则按合同目的协商确定。</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8.4 任何与本合同有关的通知、文件和合规的账单等均须以书面方式进行。通过挂号信、快递或当面送交的，经收件方签字确认即被认为送达；若以传真方式发出并被接收，即视为送达。所有通知、文件和合规的账单等均在送达或接收后方能生效。一切通知、账单、资料或文件等应发往本合同提供的地址。当该方书面通知另一方变更地址时，发往变更后的地址。</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8.5 双方约定的其他事项:</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w:t>
      </w:r>
    </w:p>
    <w:p>
      <w:pPr>
        <w:widowControl/>
        <w:snapToGrid w:val="0"/>
        <w:spacing w:line="480" w:lineRule="exact"/>
        <w:ind w:left="0" w:firstLine="560" w:firstLineChars="200"/>
        <w:jc w:val="both"/>
        <w:rPr>
          <w:rFonts w:hint="eastAsia" w:ascii="仿宋" w:hAnsi="仿宋" w:eastAsia="仿宋" w:cs="Times New Roman"/>
          <w:kern w:val="2"/>
          <w:sz w:val="28"/>
          <w:szCs w:val="20"/>
          <w:lang w:val="en-US" w:eastAsia="zh-CN" w:bidi="ar-SA"/>
        </w:rPr>
      </w:pPr>
      <w:r>
        <w:rPr>
          <w:rFonts w:hint="eastAsia" w:ascii="仿宋" w:hAnsi="仿宋" w:eastAsia="仿宋" w:cs="Times New Roman"/>
          <w:kern w:val="2"/>
          <w:sz w:val="28"/>
          <w:szCs w:val="20"/>
          <w:lang w:val="en-US" w:eastAsia="zh-CN" w:bidi="ar-SA"/>
        </w:rPr>
        <w:t>8.6 合同一式</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份，甲乙双方各执</w:t>
      </w:r>
      <w:r>
        <w:rPr>
          <w:rFonts w:hint="eastAsia" w:ascii="仿宋" w:hAnsi="仿宋" w:eastAsia="仿宋" w:cs="Times New Roman"/>
          <w:kern w:val="2"/>
          <w:sz w:val="28"/>
          <w:szCs w:val="20"/>
          <w:u w:val="single"/>
          <w:lang w:val="en-US" w:eastAsia="zh-CN" w:bidi="ar-SA"/>
        </w:rPr>
        <w:t xml:space="preserve">     </w:t>
      </w:r>
      <w:r>
        <w:rPr>
          <w:rFonts w:hint="eastAsia" w:ascii="仿宋" w:hAnsi="仿宋" w:eastAsia="仿宋" w:cs="Times New Roman"/>
          <w:kern w:val="2"/>
          <w:sz w:val="28"/>
          <w:szCs w:val="20"/>
          <w:lang w:val="en-US" w:eastAsia="zh-CN" w:bidi="ar-SA"/>
        </w:rPr>
        <w:t>份，副本若干份，分送有关机构。</w:t>
      </w:r>
    </w:p>
    <w:p>
      <w:pPr>
        <w:pageBreakBefore w:val="0"/>
        <w:kinsoku/>
        <w:overflowPunct/>
        <w:topLinePunct w:val="0"/>
        <w:bidi w:val="0"/>
        <w:snapToGrid w:val="0"/>
        <w:spacing w:line="480" w:lineRule="exact"/>
        <w:ind w:firstLine="0" w:firstLineChars="0"/>
        <w:jc w:val="center"/>
        <w:textAlignment w:val="auto"/>
        <w:outlineLvl w:val="0"/>
        <w:rPr>
          <w:rFonts w:ascii="华文中宋" w:hAnsi="华文中宋" w:eastAsia="华文中宋"/>
          <w:b/>
          <w:sz w:val="32"/>
        </w:rPr>
      </w:pPr>
      <w:r>
        <w:rPr>
          <w:rFonts w:hint="eastAsia" w:ascii="仿宋_GB2312" w:hAnsi="仿宋_GB2312" w:eastAsia="仿宋_GB2312" w:cs="仿宋_GB2312"/>
          <w:b/>
          <w:sz w:val="32"/>
          <w:szCs w:val="32"/>
        </w:rPr>
        <w:br w:type="page"/>
      </w:r>
      <w:bookmarkStart w:id="12" w:name="_Toc31806"/>
      <w:bookmarkStart w:id="13" w:name="_Toc13302"/>
      <w:r>
        <w:rPr>
          <w:rFonts w:hint="eastAsia" w:ascii="华文中宋" w:hAnsi="华文中宋" w:eastAsia="华文中宋"/>
          <w:b/>
          <w:sz w:val="32"/>
        </w:rPr>
        <w:t>签署页</w:t>
      </w:r>
      <w:bookmarkEnd w:id="12"/>
      <w:bookmarkEnd w:id="13"/>
    </w:p>
    <w:p>
      <w:pPr>
        <w:spacing w:line="560" w:lineRule="exact"/>
        <w:jc w:val="center"/>
        <w:rPr>
          <w:rFonts w:ascii="仿宋" w:hAnsi="仿宋" w:eastAsia="仿宋"/>
          <w:b/>
          <w:sz w:val="28"/>
        </w:rPr>
      </w:pPr>
    </w:p>
    <w:tbl>
      <w:tblPr>
        <w:tblStyle w:val="14"/>
        <w:tblW w:w="8606" w:type="dxa"/>
        <w:jc w:val="center"/>
        <w:tblLayout w:type="fixed"/>
        <w:tblCellMar>
          <w:top w:w="0" w:type="dxa"/>
          <w:left w:w="108" w:type="dxa"/>
          <w:bottom w:w="0" w:type="dxa"/>
          <w:right w:w="108" w:type="dxa"/>
        </w:tblCellMar>
      </w:tblPr>
      <w:tblGrid>
        <w:gridCol w:w="4295"/>
        <w:gridCol w:w="4311"/>
      </w:tblGrid>
      <w:tr>
        <w:tblPrEx>
          <w:tblCellMar>
            <w:top w:w="0" w:type="dxa"/>
            <w:left w:w="108" w:type="dxa"/>
            <w:bottom w:w="0" w:type="dxa"/>
            <w:right w:w="108" w:type="dxa"/>
          </w:tblCellMar>
        </w:tblPrEx>
        <w:trPr>
          <w:cantSplit/>
          <w:trHeight w:val="23" w:hRule="atLeast"/>
          <w:jc w:val="center"/>
        </w:trPr>
        <w:tc>
          <w:tcPr>
            <w:tcW w:w="4295" w:type="dxa"/>
            <w:vAlign w:val="center"/>
          </w:tcPr>
          <w:p>
            <w:pPr>
              <w:snapToGrid w:val="0"/>
              <w:spacing w:line="560" w:lineRule="exact"/>
              <w:jc w:val="left"/>
              <w:rPr>
                <w:rFonts w:ascii="仿宋" w:hAnsi="仿宋" w:eastAsia="仿宋"/>
                <w:sz w:val="28"/>
              </w:rPr>
            </w:pPr>
            <w:r>
              <w:rPr>
                <w:rFonts w:hint="eastAsia" w:ascii="仿宋" w:hAnsi="仿宋" w:eastAsia="仿宋"/>
                <w:sz w:val="28"/>
              </w:rPr>
              <w:t>甲方：（盖章）</w:t>
            </w:r>
          </w:p>
        </w:tc>
        <w:tc>
          <w:tcPr>
            <w:tcW w:w="4311" w:type="dxa"/>
            <w:vAlign w:val="center"/>
          </w:tcPr>
          <w:p>
            <w:pPr>
              <w:wordWrap w:val="0"/>
              <w:spacing w:line="560" w:lineRule="exact"/>
              <w:ind w:left="1120" w:hanging="1120" w:hangingChars="400"/>
              <w:jc w:val="left"/>
              <w:rPr>
                <w:rFonts w:hint="eastAsia" w:ascii="仿宋" w:hAnsi="仿宋" w:eastAsia="仿宋"/>
                <w:sz w:val="28"/>
                <w:lang w:eastAsia="zh-CN"/>
              </w:rPr>
            </w:pPr>
            <w:r>
              <w:rPr>
                <w:rFonts w:hint="eastAsia" w:ascii="仿宋" w:hAnsi="仿宋" w:eastAsia="仿宋"/>
                <w:sz w:val="28"/>
              </w:rPr>
              <w:t>乙方：（盖章）</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rPr>
            </w:pPr>
            <w:r>
              <w:rPr>
                <w:rFonts w:hint="eastAsia" w:ascii="仿宋" w:hAnsi="仿宋" w:eastAsia="仿宋"/>
                <w:sz w:val="28"/>
              </w:rPr>
              <w:t>法定代表人（负责人）或</w:t>
            </w:r>
          </w:p>
          <w:p>
            <w:pPr>
              <w:wordWrap w:val="0"/>
              <w:spacing w:line="560" w:lineRule="exact"/>
              <w:jc w:val="left"/>
              <w:rPr>
                <w:rFonts w:hint="eastAsia" w:ascii="仿宋" w:hAnsi="仿宋" w:eastAsia="仿宋"/>
                <w:sz w:val="28"/>
                <w:lang w:eastAsia="zh-CN"/>
              </w:rPr>
            </w:pPr>
            <w:r>
              <w:rPr>
                <w:rFonts w:hint="eastAsia" w:ascii="仿宋" w:hAnsi="仿宋" w:eastAsia="仿宋"/>
                <w:sz w:val="28"/>
              </w:rPr>
              <w:t>授权代表（签字）：</w:t>
            </w:r>
          </w:p>
        </w:tc>
        <w:tc>
          <w:tcPr>
            <w:tcW w:w="4311" w:type="dxa"/>
            <w:vAlign w:val="center"/>
          </w:tcPr>
          <w:p>
            <w:pPr>
              <w:wordWrap w:val="0"/>
              <w:spacing w:line="560" w:lineRule="exact"/>
              <w:jc w:val="left"/>
              <w:rPr>
                <w:rFonts w:ascii="仿宋" w:hAnsi="仿宋" w:eastAsia="仿宋"/>
                <w:sz w:val="28"/>
              </w:rPr>
            </w:pPr>
            <w:r>
              <w:rPr>
                <w:rFonts w:hint="eastAsia" w:ascii="仿宋" w:hAnsi="仿宋" w:eastAsia="仿宋"/>
                <w:sz w:val="28"/>
              </w:rPr>
              <w:t>法定代表人（负责人）或</w:t>
            </w:r>
          </w:p>
          <w:p>
            <w:pPr>
              <w:wordWrap w:val="0"/>
              <w:spacing w:line="560" w:lineRule="exact"/>
              <w:jc w:val="left"/>
              <w:rPr>
                <w:rFonts w:hint="eastAsia" w:ascii="仿宋" w:hAnsi="仿宋" w:eastAsia="仿宋"/>
                <w:sz w:val="28"/>
                <w:lang w:eastAsia="zh-CN"/>
              </w:rPr>
            </w:pPr>
            <w:r>
              <w:rPr>
                <w:rFonts w:hint="eastAsia" w:ascii="仿宋" w:hAnsi="仿宋" w:eastAsia="仿宋"/>
                <w:sz w:val="28"/>
              </w:rPr>
              <w:t>授权代表（签字）：</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rPr>
            </w:pPr>
            <w:r>
              <w:rPr>
                <w:rFonts w:hint="eastAsia" w:ascii="仿宋" w:hAnsi="仿宋" w:eastAsia="仿宋"/>
                <w:sz w:val="28"/>
              </w:rPr>
              <w:t>签订日期：</w:t>
            </w:r>
          </w:p>
        </w:tc>
        <w:tc>
          <w:tcPr>
            <w:tcW w:w="4311" w:type="dxa"/>
            <w:vAlign w:val="center"/>
          </w:tcPr>
          <w:p>
            <w:pPr>
              <w:wordWrap w:val="0"/>
              <w:spacing w:line="560" w:lineRule="exact"/>
              <w:jc w:val="left"/>
              <w:rPr>
                <w:rFonts w:ascii="仿宋" w:hAnsi="仿宋" w:eastAsia="仿宋"/>
                <w:sz w:val="28"/>
              </w:rPr>
            </w:pPr>
            <w:r>
              <w:rPr>
                <w:rFonts w:hint="eastAsia" w:ascii="仿宋" w:hAnsi="仿宋" w:eastAsia="仿宋"/>
                <w:sz w:val="28"/>
              </w:rPr>
              <w:t>签订日期：</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地址：</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地址：</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联系人：</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联系人：</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电话：</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电话：</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传真：</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传真：</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Email：</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Email：</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开户银行：</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开户银行：</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账号：</w:t>
            </w:r>
          </w:p>
        </w:tc>
        <w:tc>
          <w:tcPr>
            <w:tcW w:w="4311"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账号：</w:t>
            </w:r>
          </w:p>
        </w:tc>
      </w:tr>
      <w:tr>
        <w:tblPrEx>
          <w:tblCellMar>
            <w:top w:w="0" w:type="dxa"/>
            <w:left w:w="108" w:type="dxa"/>
            <w:bottom w:w="0" w:type="dxa"/>
            <w:right w:w="108" w:type="dxa"/>
          </w:tblCellMar>
        </w:tblPrEx>
        <w:trPr>
          <w:cantSplit/>
          <w:trHeight w:val="23" w:hRule="atLeast"/>
          <w:jc w:val="center"/>
        </w:trPr>
        <w:tc>
          <w:tcPr>
            <w:tcW w:w="4295" w:type="dxa"/>
            <w:vAlign w:val="center"/>
          </w:tcPr>
          <w:p>
            <w:pPr>
              <w:wordWrap w:val="0"/>
              <w:spacing w:line="560" w:lineRule="exact"/>
              <w:jc w:val="left"/>
              <w:rPr>
                <w:rFonts w:ascii="仿宋" w:hAnsi="仿宋" w:eastAsia="仿宋"/>
                <w:sz w:val="28"/>
                <w:szCs w:val="22"/>
              </w:rPr>
            </w:pPr>
            <w:r>
              <w:rPr>
                <w:rFonts w:hint="eastAsia" w:ascii="仿宋" w:hAnsi="仿宋" w:eastAsia="仿宋"/>
                <w:sz w:val="28"/>
                <w:szCs w:val="22"/>
              </w:rPr>
              <w:t>统一社会信用代码：</w:t>
            </w:r>
          </w:p>
        </w:tc>
        <w:tc>
          <w:tcPr>
            <w:tcW w:w="4311" w:type="dxa"/>
            <w:vAlign w:val="center"/>
          </w:tcPr>
          <w:p>
            <w:pPr>
              <w:wordWrap w:val="0"/>
              <w:spacing w:line="560" w:lineRule="exact"/>
              <w:jc w:val="left"/>
              <w:rPr>
                <w:rFonts w:ascii="仿宋" w:hAnsi="仿宋" w:eastAsia="仿宋"/>
                <w:sz w:val="28"/>
                <w:szCs w:val="22"/>
              </w:rPr>
            </w:pPr>
            <w:bookmarkStart w:id="14" w:name="sn_YJ20180112170141"/>
            <w:bookmarkEnd w:id="14"/>
            <w:r>
              <w:rPr>
                <w:rFonts w:hint="eastAsia" w:ascii="仿宋" w:hAnsi="仿宋" w:eastAsia="仿宋"/>
                <w:sz w:val="28"/>
                <w:szCs w:val="22"/>
              </w:rPr>
              <w:t>统一社会信用代码：</w:t>
            </w:r>
          </w:p>
        </w:tc>
      </w:tr>
      <w:bookmarkEnd w:id="11"/>
    </w:tbl>
    <w:p>
      <w:pPr>
        <w:rPr>
          <w:rFonts w:hint="eastAsia" w:ascii="仿宋_GB2312" w:hAnsi="仿宋_GB2312" w:eastAsia="仿宋_GB2312" w:cs="仿宋_GB2312"/>
          <w:sz w:val="32"/>
          <w:szCs w:val="32"/>
          <w:lang w:val="en-US" w:eastAsia="zh-CN"/>
        </w:rPr>
        <w:sectPr>
          <w:pgSz w:w="11905" w:h="16840"/>
          <w:pgNumType w:fmt="decimal" w:start="1"/>
          <w:cols w:space="720" w:num="1"/>
        </w:sectPr>
      </w:pPr>
      <w:r>
        <w:rPr>
          <w:rFonts w:hint="eastAsia" w:ascii="仿宋_GB2312" w:hAnsi="仿宋_GB2312" w:eastAsia="仿宋_GB2312" w:cs="仿宋_GB2312"/>
          <w:sz w:val="32"/>
          <w:szCs w:val="32"/>
          <w:lang w:val="en-US" w:eastAsia="zh-CN"/>
        </w:rPr>
        <w:br w:type="page"/>
      </w:r>
    </w:p>
    <w:p>
      <w:pPr>
        <w:keepNext w:val="0"/>
        <w:keepLines w:val="0"/>
        <w:widowControl/>
        <w:suppressLineNumbers w:val="0"/>
        <w:jc w:val="left"/>
      </w:pPr>
      <w:r>
        <w:rPr>
          <w:rFonts w:ascii="仿宋" w:hAnsi="仿宋" w:eastAsia="仿宋" w:cs="仿宋"/>
          <w:color w:val="000000"/>
          <w:kern w:val="0"/>
          <w:sz w:val="31"/>
          <w:szCs w:val="31"/>
          <w:lang w:val="en-US" w:eastAsia="zh-CN" w:bidi="ar"/>
        </w:rPr>
        <w:t xml:space="preserve">附件： </w:t>
      </w:r>
    </w:p>
    <w:p>
      <w:pPr>
        <w:keepNext w:val="0"/>
        <w:keepLines w:val="0"/>
        <w:widowControl/>
        <w:suppressLineNumbers w:val="0"/>
        <w:jc w:val="center"/>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分布式新能源项目</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1082"/>
        <w:gridCol w:w="1262"/>
        <w:gridCol w:w="1363"/>
        <w:gridCol w:w="1734"/>
        <w:gridCol w:w="1213"/>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dxa"/>
          </w:tcPr>
          <w:p>
            <w:pPr>
              <w:keepNext w:val="0"/>
              <w:keepLines w:val="0"/>
              <w:widowControl/>
              <w:suppressLineNumbers w:val="0"/>
              <w:jc w:val="left"/>
              <w:rPr>
                <w:rFonts w:hint="eastAsia" w:ascii="仿宋" w:hAnsi="仿宋" w:eastAsia="仿宋" w:cs="仿宋"/>
                <w:color w:val="000000"/>
                <w:kern w:val="0"/>
                <w:sz w:val="28"/>
                <w:szCs w:val="28"/>
                <w:vertAlign w:val="baseline"/>
                <w:lang w:val="en-US" w:eastAsia="zh-CN" w:bidi="ar"/>
              </w:rPr>
            </w:pPr>
            <w:r>
              <w:rPr>
                <w:rFonts w:ascii="仿宋" w:hAnsi="仿宋" w:eastAsia="仿宋" w:cs="仿宋"/>
                <w:color w:val="000000"/>
                <w:kern w:val="0"/>
                <w:sz w:val="28"/>
                <w:szCs w:val="28"/>
                <w:lang w:val="en-US" w:eastAsia="zh-CN" w:bidi="ar"/>
              </w:rPr>
              <w:t>序号</w:t>
            </w:r>
          </w:p>
        </w:tc>
        <w:tc>
          <w:tcPr>
            <w:tcW w:w="1082" w:type="dxa"/>
          </w:tcPr>
          <w:p>
            <w:pPr>
              <w:keepNext w:val="0"/>
              <w:keepLines w:val="0"/>
              <w:widowControl/>
              <w:suppressLineNumbers w:val="0"/>
              <w:jc w:val="left"/>
              <w:rPr>
                <w:rFonts w:hint="eastAsia" w:ascii="仿宋" w:hAnsi="仿宋" w:eastAsia="仿宋" w:cs="仿宋"/>
                <w:color w:val="000000"/>
                <w:kern w:val="0"/>
                <w:sz w:val="28"/>
                <w:szCs w:val="28"/>
                <w:vertAlign w:val="baseline"/>
                <w:lang w:val="en-US" w:eastAsia="zh-CN" w:bidi="ar"/>
              </w:rPr>
            </w:pPr>
            <w:r>
              <w:rPr>
                <w:rFonts w:ascii="仿宋" w:hAnsi="仿宋" w:eastAsia="仿宋" w:cs="仿宋"/>
                <w:color w:val="000000"/>
                <w:kern w:val="0"/>
                <w:sz w:val="28"/>
                <w:szCs w:val="28"/>
                <w:lang w:val="en-US" w:eastAsia="zh-CN" w:bidi="ar"/>
              </w:rPr>
              <w:t>企业名称</w:t>
            </w:r>
          </w:p>
        </w:tc>
        <w:tc>
          <w:tcPr>
            <w:tcW w:w="1262" w:type="dxa"/>
          </w:tcPr>
          <w:p>
            <w:pPr>
              <w:keepNext w:val="0"/>
              <w:keepLines w:val="0"/>
              <w:widowControl/>
              <w:suppressLineNumbers w:val="0"/>
              <w:jc w:val="left"/>
              <w:rPr>
                <w:rFonts w:hint="eastAsia" w:ascii="仿宋" w:hAnsi="仿宋" w:eastAsia="仿宋" w:cs="仿宋"/>
                <w:color w:val="000000"/>
                <w:kern w:val="0"/>
                <w:sz w:val="28"/>
                <w:szCs w:val="28"/>
                <w:vertAlign w:val="baseline"/>
                <w:lang w:val="en-US" w:eastAsia="zh-CN" w:bidi="ar"/>
              </w:rPr>
            </w:pPr>
            <w:r>
              <w:rPr>
                <w:rFonts w:ascii="仿宋" w:hAnsi="仿宋" w:eastAsia="仿宋" w:cs="仿宋"/>
                <w:color w:val="000000"/>
                <w:kern w:val="0"/>
                <w:sz w:val="28"/>
                <w:szCs w:val="28"/>
                <w:lang w:val="en-US" w:eastAsia="zh-CN" w:bidi="ar"/>
              </w:rPr>
              <w:t>机组名称</w:t>
            </w:r>
          </w:p>
        </w:tc>
        <w:tc>
          <w:tcPr>
            <w:tcW w:w="1363" w:type="dxa"/>
          </w:tcPr>
          <w:p>
            <w:pPr>
              <w:keepNext w:val="0"/>
              <w:keepLines w:val="0"/>
              <w:widowControl/>
              <w:suppressLineNumbers w:val="0"/>
              <w:jc w:val="left"/>
              <w:rPr>
                <w:rFonts w:hint="eastAsia" w:ascii="仿宋" w:hAnsi="仿宋" w:eastAsia="仿宋" w:cs="仿宋"/>
                <w:color w:val="000000"/>
                <w:kern w:val="0"/>
                <w:sz w:val="28"/>
                <w:szCs w:val="28"/>
                <w:vertAlign w:val="baseline"/>
                <w:lang w:val="en-US" w:eastAsia="zh-CN" w:bidi="ar"/>
              </w:rPr>
            </w:pPr>
            <w:r>
              <w:rPr>
                <w:rFonts w:ascii="仿宋" w:hAnsi="仿宋" w:eastAsia="仿宋" w:cs="仿宋"/>
                <w:color w:val="000000"/>
                <w:kern w:val="0"/>
                <w:sz w:val="28"/>
                <w:szCs w:val="28"/>
                <w:lang w:val="en-US" w:eastAsia="zh-CN" w:bidi="ar"/>
              </w:rPr>
              <w:t>项目核准文号</w:t>
            </w:r>
          </w:p>
        </w:tc>
        <w:tc>
          <w:tcPr>
            <w:tcW w:w="1734" w:type="dxa"/>
          </w:tcPr>
          <w:p>
            <w:pPr>
              <w:keepNext w:val="0"/>
              <w:keepLines w:val="0"/>
              <w:widowControl/>
              <w:suppressLineNumbers w:val="0"/>
              <w:jc w:val="left"/>
              <w:rPr>
                <w:rFonts w:hint="eastAsia" w:ascii="仿宋" w:hAnsi="仿宋" w:eastAsia="仿宋" w:cs="仿宋"/>
                <w:color w:val="000000"/>
                <w:kern w:val="0"/>
                <w:sz w:val="28"/>
                <w:szCs w:val="28"/>
                <w:vertAlign w:val="baseline"/>
                <w:lang w:val="en-US" w:eastAsia="zh-CN" w:bidi="ar"/>
              </w:rPr>
            </w:pPr>
            <w:r>
              <w:rPr>
                <w:rFonts w:ascii="仿宋" w:hAnsi="仿宋" w:eastAsia="仿宋" w:cs="仿宋"/>
                <w:color w:val="000000"/>
                <w:kern w:val="0"/>
                <w:sz w:val="28"/>
                <w:szCs w:val="28"/>
                <w:lang w:val="en-US" w:eastAsia="zh-CN" w:bidi="ar"/>
              </w:rPr>
              <w:t>可再生能源项目代码</w:t>
            </w:r>
          </w:p>
        </w:tc>
        <w:tc>
          <w:tcPr>
            <w:tcW w:w="1213" w:type="dxa"/>
          </w:tcPr>
          <w:p>
            <w:pPr>
              <w:keepNext w:val="0"/>
              <w:keepLines w:val="0"/>
              <w:widowControl/>
              <w:suppressLineNumbers w:val="0"/>
              <w:jc w:val="left"/>
              <w:rPr>
                <w:rFonts w:hint="eastAsia" w:ascii="仿宋" w:hAnsi="仿宋" w:eastAsia="仿宋" w:cs="仿宋"/>
                <w:color w:val="000000"/>
                <w:kern w:val="0"/>
                <w:sz w:val="28"/>
                <w:szCs w:val="28"/>
                <w:vertAlign w:val="baseline"/>
                <w:lang w:val="en-US" w:eastAsia="zh-CN" w:bidi="ar"/>
              </w:rPr>
            </w:pPr>
            <w:r>
              <w:rPr>
                <w:rFonts w:ascii="仿宋" w:hAnsi="仿宋" w:eastAsia="仿宋" w:cs="仿宋"/>
                <w:color w:val="000000"/>
                <w:kern w:val="0"/>
                <w:sz w:val="28"/>
                <w:szCs w:val="28"/>
                <w:lang w:val="en-US" w:eastAsia="zh-CN" w:bidi="ar"/>
              </w:rPr>
              <w:t>发电户号</w:t>
            </w:r>
          </w:p>
        </w:tc>
        <w:tc>
          <w:tcPr>
            <w:tcW w:w="1213" w:type="dxa"/>
          </w:tcPr>
          <w:p>
            <w:pPr>
              <w:keepNext w:val="0"/>
              <w:keepLines w:val="0"/>
              <w:widowControl/>
              <w:suppressLineNumbers w:val="0"/>
              <w:jc w:val="left"/>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机制电量比例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1"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08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62"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36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734"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c>
          <w:tcPr>
            <w:tcW w:w="1213" w:type="dxa"/>
          </w:tcPr>
          <w:p>
            <w:pPr>
              <w:keepNext w:val="0"/>
              <w:keepLines w:val="0"/>
              <w:widowControl/>
              <w:suppressLineNumbers w:val="0"/>
              <w:jc w:val="center"/>
              <w:rPr>
                <w:rFonts w:hint="eastAsia" w:ascii="仿宋" w:hAnsi="仿宋" w:eastAsia="仿宋" w:cs="仿宋"/>
                <w:color w:val="000000"/>
                <w:kern w:val="0"/>
                <w:sz w:val="31"/>
                <w:szCs w:val="31"/>
                <w:vertAlign w:val="baseline"/>
                <w:lang w:val="en-US" w:eastAsia="zh-CN" w:bidi="ar"/>
              </w:rPr>
            </w:pPr>
          </w:p>
        </w:tc>
      </w:tr>
    </w:tbl>
    <w:p>
      <w:pPr>
        <w:adjustRightInd w:val="0"/>
        <w:snapToGrid w:val="0"/>
        <w:spacing w:line="580" w:lineRule="exact"/>
        <w:outlineLvl w:val="0"/>
        <w:rPr>
          <w:rFonts w:eastAsia="仿宋_GB2312"/>
          <w:b/>
          <w:sz w:val="32"/>
          <w:szCs w:val="32"/>
        </w:rPr>
      </w:pPr>
    </w:p>
    <w:p>
      <w:pPr>
        <w:rPr>
          <w:rFonts w:hint="eastAsia"/>
          <w:lang w:val="en-US" w:eastAsia="zh-CN"/>
        </w:rPr>
      </w:pPr>
    </w:p>
    <w:p/>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Book Antiqua">
    <w:panose1 w:val="02040602050305030304"/>
    <w:charset w:val="00"/>
    <w:family w:val="auto"/>
    <w:pitch w:val="default"/>
    <w:sig w:usb0="00000287" w:usb1="00000000" w:usb2="00000000" w:usb3="00000000" w:csb0="200000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rPr>
        <w:rFonts w:ascii="方正仿宋_GBK" w:eastAsia="方正仿宋_GBK"/>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60"/>
      <w:jc w:val="center"/>
      <w:rPr>
        <w:rFonts w:ascii="方正仿宋_GBK" w:eastAsia="方正仿宋_GBK"/>
        <w:sz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ascii="宋体" w:hAnsi="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ascii="宋体" w:hAnsi="宋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B8EEA0"/>
    <w:multiLevelType w:val="singleLevel"/>
    <w:tmpl w:val="33B8EEA0"/>
    <w:lvl w:ilvl="0" w:tentative="0">
      <w:start w:val="3"/>
      <w:numFmt w:val="decimal"/>
      <w:suff w:val="nothing"/>
      <w:lvlText w:val="（%1）"/>
      <w:lvlJc w:val="left"/>
    </w:lvl>
  </w:abstractNum>
  <w:abstractNum w:abstractNumId="1">
    <w:nsid w:val="5F3826CD"/>
    <w:multiLevelType w:val="singleLevel"/>
    <w:tmpl w:val="5F3826CD"/>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5E3FB6"/>
    <w:rsid w:val="01BC2A57"/>
    <w:rsid w:val="01E627CD"/>
    <w:rsid w:val="041631AE"/>
    <w:rsid w:val="056B1E7E"/>
    <w:rsid w:val="0D4903E8"/>
    <w:rsid w:val="0FAD13A3"/>
    <w:rsid w:val="11395107"/>
    <w:rsid w:val="186E5737"/>
    <w:rsid w:val="1ADE36EC"/>
    <w:rsid w:val="1FF410EC"/>
    <w:rsid w:val="22AB671F"/>
    <w:rsid w:val="22C45743"/>
    <w:rsid w:val="24C97F79"/>
    <w:rsid w:val="254B3603"/>
    <w:rsid w:val="27E66426"/>
    <w:rsid w:val="280F6185"/>
    <w:rsid w:val="289B002D"/>
    <w:rsid w:val="30006F76"/>
    <w:rsid w:val="30C34170"/>
    <w:rsid w:val="31B87039"/>
    <w:rsid w:val="33032703"/>
    <w:rsid w:val="345D2F63"/>
    <w:rsid w:val="39222646"/>
    <w:rsid w:val="3FCD486D"/>
    <w:rsid w:val="428761B5"/>
    <w:rsid w:val="445E3FB6"/>
    <w:rsid w:val="45A04418"/>
    <w:rsid w:val="45AE7F60"/>
    <w:rsid w:val="47C15278"/>
    <w:rsid w:val="4C6F3388"/>
    <w:rsid w:val="4F3E56E5"/>
    <w:rsid w:val="503B1837"/>
    <w:rsid w:val="5BF20545"/>
    <w:rsid w:val="5CBE1878"/>
    <w:rsid w:val="5D233154"/>
    <w:rsid w:val="618347D0"/>
    <w:rsid w:val="62B71041"/>
    <w:rsid w:val="634F5217"/>
    <w:rsid w:val="66426252"/>
    <w:rsid w:val="6CA00EDA"/>
    <w:rsid w:val="6E383E1B"/>
    <w:rsid w:val="6E7D67CD"/>
    <w:rsid w:val="70B84BDA"/>
    <w:rsid w:val="71825DAF"/>
    <w:rsid w:val="7268266C"/>
    <w:rsid w:val="72C14896"/>
    <w:rsid w:val="72CC0E23"/>
    <w:rsid w:val="72DA370F"/>
    <w:rsid w:val="74FA7FE9"/>
    <w:rsid w:val="79450239"/>
    <w:rsid w:val="7CC45FE0"/>
    <w:rsid w:val="7CD14B82"/>
    <w:rsid w:val="7D1D2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adjustRightInd w:val="0"/>
      <w:snapToGrid w:val="0"/>
      <w:ind w:firstLine="200" w:firstLineChars="200"/>
      <w:outlineLvl w:val="0"/>
    </w:pPr>
    <w:rPr>
      <w:rFonts w:ascii="方正仿宋_GBK" w:hAnsi="方正仿宋_GBK" w:eastAsia="方正仿宋_GBK"/>
      <w:b/>
      <w:kern w:val="44"/>
      <w:sz w:val="32"/>
    </w:rPr>
  </w:style>
  <w:style w:type="paragraph" w:styleId="4">
    <w:name w:val="heading 2"/>
    <w:basedOn w:val="1"/>
    <w:next w:val="1"/>
    <w:unhideWhenUsed/>
    <w:qFormat/>
    <w:uiPriority w:val="0"/>
    <w:pPr>
      <w:keepNext/>
      <w:keepLines/>
      <w:spacing w:line="560" w:lineRule="exact"/>
      <w:ind w:firstLine="1044" w:firstLineChars="200"/>
      <w:outlineLvl w:val="1"/>
    </w:pPr>
    <w:rPr>
      <w:rFonts w:ascii="方正楷体_GBK" w:hAnsi="方正楷体_GBK" w:eastAsia="方正楷体_GBK" w:cs="Times New Roman"/>
      <w:sz w:val="32"/>
      <w:szCs w:val="36"/>
    </w:rPr>
  </w:style>
  <w:style w:type="paragraph" w:styleId="5">
    <w:name w:val="heading 3"/>
    <w:basedOn w:val="1"/>
    <w:next w:val="1"/>
    <w:unhideWhenUsed/>
    <w:qFormat/>
    <w:uiPriority w:val="0"/>
    <w:pPr>
      <w:keepNext/>
      <w:keepLines/>
      <w:adjustRightInd w:val="0"/>
      <w:ind w:left="0" w:firstLine="1044" w:firstLineChars="200"/>
      <w:outlineLvl w:val="2"/>
    </w:pPr>
    <w:rPr>
      <w:b/>
      <w:bCs/>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styleId="6">
    <w:name w:val="Normal Indent"/>
    <w:basedOn w:val="1"/>
    <w:next w:val="1"/>
    <w:link w:val="17"/>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next w:val="9"/>
    <w:qFormat/>
    <w:uiPriority w:val="0"/>
    <w:pPr>
      <w:spacing w:afterLines="0" w:afterAutospacing="0"/>
    </w:pPr>
    <w:rPr>
      <w:rFonts w:hint="eastAsia" w:ascii="方正仿宋_GBK" w:hAnsi="方正仿宋_GBK" w:eastAsia="方正仿宋_GBK" w:cs="Times New Roman"/>
      <w:sz w:val="32"/>
    </w:rPr>
  </w:style>
  <w:style w:type="paragraph" w:styleId="9">
    <w:name w:val="Title"/>
    <w:basedOn w:val="1"/>
    <w:next w:val="1"/>
    <w:qFormat/>
    <w:uiPriority w:val="0"/>
    <w:pPr>
      <w:ind w:firstLine="0" w:firstLineChars="0"/>
      <w:jc w:val="center"/>
      <w:outlineLvl w:val="0"/>
    </w:pPr>
    <w:rPr>
      <w:rFonts w:ascii="Cambria" w:hAnsi="Cambria" w:eastAsia="方正小标宋_GBK" w:cs="Times New Roman"/>
      <w:sz w:val="44"/>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snapToGrid w:val="0"/>
      <w:spacing w:line="360" w:lineRule="auto"/>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正文缩进 Char"/>
    <w:link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12910</Words>
  <Characters>13283</Characters>
  <Lines>0</Lines>
  <Paragraphs>0</Paragraphs>
  <TotalTime>14</TotalTime>
  <ScaleCrop>false</ScaleCrop>
  <LinksUpToDate>false</LinksUpToDate>
  <CharactersWithSpaces>14016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2026-07-27T15:15:00Z</dcterms:created>
  <dc:creator>JYZX</dc:creator>
  <cp:lastModifiedBy>lxy</cp:lastModifiedBy>
  <cp:lastPrinted>2026-08-11T15:02:00Z</cp:lastPrinted>
  <dcterms:modified xsi:type="dcterms:W3CDTF">2026-10-12T10:48:47Z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48EBD3FE29CE4FFC8B8AE0C5798F1868_13</vt:lpwstr>
  </property>
  <property fmtid="{D5CDD505-2E9C-101B-9397-08002B2CF9AE}" pid="4" name="KSOTemplateDocerSaveRecord">
    <vt:lpwstr>eyJoZGlkIjoiZjAzNzEwMzM5MjQ0Mzk3OGMyYTNkYWQ1YThiY2RjNmEiLCJ1c2VySWQiOiI1Mzg5NTU5NTAifQ==</vt:lpwstr>
  </property>
</Properties>
</file>